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left"/>
      </w:pPr>
      <w:r>
        <w:rPr>
          <w:rFonts w:ascii="DIN Next LT Arabic Medium" w:hAnsi="DIN Next LT Arabic Medium" w:cs="DIN Next LT Arabic Medium" w:eastAsia="DIN Next LT Arabic Medium"/>
          <w:color w:val="00A6AD"/>
          <w:sz w:val="18"/>
          <w:szCs w:val="18"/>
        </w:rPr>
        <w:t>INVESTMENT CLOSING</w:t>
      </w:r>
    </w:p>
    <w:p>
      <w:pPr>
        <w:pStyle w:val="Heading1"/>
        <w:bidi/>
        <w:jc w:val="left"/>
      </w:pPr>
      <w:r>
        <w:rPr>
          <w:rFonts w:ascii="DIN Next LT Arabic Medium" w:hAnsi="DIN Next LT Arabic Medium" w:cs="DIN Next LT Arabic Medium" w:eastAsia="DIN Next LT Arabic Medium"/>
          <w:color w:val="173A46"/>
          <w:sz w:val="46"/>
          <w:szCs w:val="46"/>
        </w:rPr>
        <w:t>شروط الاستثمار والفحص والإقفال</w:t>
      </w:r>
    </w:p>
    <w:p>
      <w:pPr>
        <w:bidi/>
        <w:jc w:val="left"/>
      </w:pPr>
      <w:r>
        <w:drawing>
          <wp:inline xmlns:a="http://schemas.openxmlformats.org/drawingml/2006/main" xmlns:pic="http://schemas.openxmlformats.org/drawingml/2006/picture">
            <wp:extent cx="6263640" cy="3523298"/>
            <wp:docPr id="1" name="Picture 1"/>
            <wp:cNvGraphicFramePr>
              <a:graphicFrameLocks noChangeAspect="1"/>
            </wp:cNvGraphicFramePr>
            <a:graphic>
              <a:graphicData uri="http://schemas.openxmlformats.org/drawingml/2006/picture">
                <pic:pic>
                  <pic:nvPicPr>
                    <pic:cNvPr id="0" name="haramain.jpg"/>
                    <pic:cNvPicPr/>
                  </pic:nvPicPr>
                  <pic:blipFill>
                    <a:blip r:embed="rId11"/>
                    <a:stretch>
                      <a:fillRect/>
                    </a:stretch>
                  </pic:blipFill>
                  <pic:spPr>
                    <a:xfrm>
                      <a:off x="0" y="0"/>
                      <a:ext cx="6263640" cy="3523298"/>
                    </a:xfrm>
                    <a:prstGeom prst="rect"/>
                  </pic:spPr>
                </pic:pic>
              </a:graphicData>
            </a:graphic>
          </wp:inline>
        </w:drawing>
      </w:r>
    </w:p>
    <w:p>
      <w:pPr>
        <w:bidi/>
        <w:jc w:val="left"/>
      </w:pPr>
      <w:r>
        <w:rPr>
          <w:rFonts w:ascii="DIN Next LT Arabic Light" w:hAnsi="DIN Next LT Arabic Light" w:cs="DIN Next LT Arabic Light" w:eastAsia="DIN Next LT Arabic Light"/>
          <w:color w:val="173A46"/>
          <w:sz w:val="16"/>
          <w:szCs w:val="16"/>
        </w:rPr>
        <w:t>تصور مركز أطفال الحرمين من ملفات WOO</w:t>
      </w:r>
    </w:p>
    <w:p>
      <w:pPr>
        <w:bidi/>
        <w:jc w:val="left"/>
        <w:shd w:fill="EAF5F4"/>
      </w:pPr>
      <w:r>
        <w:rPr>
          <w:rFonts w:ascii="DIN Next LT Arabic Light" w:hAnsi="DIN Next LT Arabic Light" w:cs="DIN Next LT Arabic Light" w:eastAsia="DIN Next LT Arabic Light"/>
          <w:color w:val="173A46"/>
          <w:sz w:val="18"/>
          <w:szCs w:val="18"/>
        </w:rPr>
        <w:t>مذكرة شروط تفاوضية • حقوق الشركاء • خطة دفعات • مستندات فحص</w:t>
      </w:r>
    </w:p>
    <w:tbl>
      <w:tblPr>
        <w:tblW w:type="auto" w:w="0"/>
        <w:jc w:val="center"/>
        <w:tblLayout w:type="autofit"/>
        <w:tblLook w:firstColumn="1" w:firstRow="1" w:lastColumn="0" w:lastRow="0" w:noHBand="0" w:noVBand="1" w:val="04A0"/>
        <w:bidiVisual/>
      </w:tblPr>
      <w:tblGrid>
        <w:gridCol w:w="3374"/>
        <w:gridCol w:w="3374"/>
        <w:gridCol w:w="3374"/>
      </w:tblGrid>
      <w:tr>
        <w:trPr>
          <w:cantSplit/>
        </w:trPr>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مسار الاستثمار</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المبلغ المقترح</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الحصة</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شركات التطبيقات</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7.67 مليون ريال</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30% في كل شركة مختارة</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WOO والمواقع والحقوق</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7.00 ملايين ريال</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30% في WOO</w:t>
            </w:r>
          </w:p>
        </w:tc>
      </w:tr>
    </w:tbl>
    <w:p>
      <w:pPr>
        <w:spacing w:after="0"/>
      </w:pPr>
    </w:p>
    <w:p>
      <w:pPr>
        <w:bidi/>
        <w:jc w:val="left"/>
      </w:pPr>
      <w:r>
        <w:rPr>
          <w:rFonts w:ascii="DIN Next LT Arabic Light" w:hAnsi="DIN Next LT Arabic Light" w:cs="DIN Next LT Arabic Light" w:eastAsia="DIN Next LT Arabic Light"/>
          <w:color w:val="173A46"/>
          <w:sz w:val="21"/>
          <w:szCs w:val="21"/>
        </w:rPr>
        <w:t>مقدم إلى شركة الأصول الثقافية | Edutainment Holding | إصدار محدث: 6 أكتوبر 2026</w:t>
      </w:r>
    </w:p>
    <w:p>
      <w:r>
        <w:br w:type="page"/>
      </w:r>
    </w:p>
    <w:p>
      <w:pPr>
        <w:pStyle w:val="Heading1"/>
        <w:bidi/>
        <w:jc w:val="left"/>
      </w:pPr>
      <w:r>
        <w:rPr>
          <w:rFonts w:ascii="DIN Next LT Arabic Medium" w:hAnsi="DIN Next LT Arabic Medium" w:cs="DIN Next LT Arabic Medium" w:eastAsia="DIN Next LT Arabic Medium"/>
          <w:color w:val="173A46"/>
          <w:sz w:val="46"/>
          <w:szCs w:val="46"/>
        </w:rPr>
        <w:t>نطاق الدخول والشروط الاقتصادية</w:t>
      </w:r>
    </w:p>
    <w:tbl>
      <w:tblPr>
        <w:tblW w:type="auto" w:w="0"/>
        <w:jc w:val="center"/>
        <w:tblLayout w:type="autofit"/>
        <w:tblLook w:firstColumn="1" w:firstRow="1" w:lastColumn="0" w:lastRow="0" w:noHBand="0" w:noVBand="1" w:val="04A0"/>
        <w:bidiVisual/>
      </w:tblPr>
      <w:tblGrid>
        <w:gridCol w:w="2531"/>
        <w:gridCol w:w="2531"/>
        <w:gridCol w:w="2531"/>
        <w:gridCol w:w="2531"/>
      </w:tblGrid>
      <w:tr>
        <w:trPr>
          <w:cantSplit/>
        </w:trPr>
        <w:tc>
          <w:tcPr>
            <w:tcW w:type="dxa" w:w="2531"/>
            <w:shd w:fill="073B4A"/>
          </w:tcPr>
          <w:p>
            <w:pPr>
              <w:bidi/>
              <w:jc w:val="left"/>
            </w:pPr>
            <w:r>
              <w:rPr>
                <w:rFonts w:ascii="DIN Next LT Arabic Medium" w:hAnsi="DIN Next LT Arabic Medium" w:cs="DIN Next LT Arabic Medium" w:eastAsia="DIN Next LT Arabic Medium"/>
                <w:color w:val="FFFFFF"/>
                <w:sz w:val="18"/>
                <w:szCs w:val="18"/>
              </w:rPr>
              <w:t>الشركة</w:t>
            </w:r>
          </w:p>
        </w:tc>
        <w:tc>
          <w:tcPr>
            <w:tcW w:type="dxa" w:w="2531"/>
            <w:shd w:fill="073B4A"/>
          </w:tcPr>
          <w:p>
            <w:pPr>
              <w:bidi/>
              <w:jc w:val="left"/>
            </w:pPr>
            <w:r>
              <w:rPr>
                <w:rFonts w:ascii="DIN Next LT Arabic Medium" w:hAnsi="DIN Next LT Arabic Medium" w:cs="DIN Next LT Arabic Medium" w:eastAsia="DIN Next LT Arabic Medium"/>
                <w:color w:val="FFFFFF"/>
                <w:sz w:val="18"/>
                <w:szCs w:val="18"/>
              </w:rPr>
              <w:t>التمويل / مليون</w:t>
            </w:r>
          </w:p>
        </w:tc>
        <w:tc>
          <w:tcPr>
            <w:tcW w:type="dxa" w:w="2531"/>
            <w:shd w:fill="073B4A"/>
          </w:tcPr>
          <w:p>
            <w:pPr>
              <w:bidi/>
              <w:jc w:val="left"/>
            </w:pPr>
            <w:r>
              <w:rPr>
                <w:rFonts w:ascii="DIN Next LT Arabic Medium" w:hAnsi="DIN Next LT Arabic Medium" w:cs="DIN Next LT Arabic Medium" w:eastAsia="DIN Next LT Arabic Medium"/>
                <w:color w:val="FFFFFF"/>
                <w:sz w:val="18"/>
                <w:szCs w:val="18"/>
              </w:rPr>
              <w:t>قبل التمويل / مليون</w:t>
            </w:r>
          </w:p>
        </w:tc>
        <w:tc>
          <w:tcPr>
            <w:tcW w:type="dxa" w:w="2531"/>
            <w:shd w:fill="073B4A"/>
          </w:tcPr>
          <w:p>
            <w:pPr>
              <w:bidi/>
              <w:jc w:val="left"/>
            </w:pPr>
            <w:r>
              <w:rPr>
                <w:rFonts w:ascii="DIN Next LT Arabic Medium" w:hAnsi="DIN Next LT Arabic Medium" w:cs="DIN Next LT Arabic Medium" w:eastAsia="DIN Next LT Arabic Medium"/>
                <w:color w:val="FFFFFF"/>
                <w:sz w:val="18"/>
                <w:szCs w:val="18"/>
              </w:rPr>
              <w:t>بعد التمويل / مليون</w:t>
            </w:r>
          </w:p>
        </w:tc>
      </w:tr>
      <w:tr>
        <w:trPr>
          <w:cantSplit/>
        </w:trPr>
        <w:tc>
          <w:tcPr>
            <w:tcW w:type="dxa" w:w="2531"/>
          </w:tcPr>
          <w:p>
            <w:pPr>
              <w:bidi/>
              <w:spacing w:after="60" w:before="60"/>
              <w:jc w:val="left"/>
            </w:pPr>
            <w:r>
              <w:rPr>
                <w:rFonts w:ascii="DIN Next LT Arabic Light" w:hAnsi="DIN Next LT Arabic Light" w:cs="DIN Next LT Arabic Light" w:eastAsia="DIN Next LT Arabic Light"/>
                <w:color w:val="173A46"/>
                <w:sz w:val="18"/>
                <w:szCs w:val="18"/>
              </w:rPr>
              <w:t>Moments</w:t>
            </w:r>
          </w:p>
        </w:tc>
        <w:tc>
          <w:tcPr>
            <w:tcW w:type="dxa" w:w="2531"/>
          </w:tcPr>
          <w:p>
            <w:pPr>
              <w:bidi/>
              <w:spacing w:after="60" w:before="60"/>
              <w:jc w:val="left"/>
            </w:pPr>
            <w:r>
              <w:rPr>
                <w:rFonts w:ascii="DIN Next LT Arabic Light" w:hAnsi="DIN Next LT Arabic Light" w:cs="DIN Next LT Arabic Light" w:eastAsia="DIN Next LT Arabic Light"/>
                <w:color w:val="173A46"/>
                <w:sz w:val="18"/>
                <w:szCs w:val="18"/>
              </w:rPr>
              <w:t>1.38</w:t>
            </w:r>
          </w:p>
        </w:tc>
        <w:tc>
          <w:tcPr>
            <w:tcW w:type="dxa" w:w="2531"/>
          </w:tcPr>
          <w:p>
            <w:pPr>
              <w:bidi/>
              <w:spacing w:after="60" w:before="60"/>
              <w:jc w:val="left"/>
            </w:pPr>
            <w:r>
              <w:rPr>
                <w:rFonts w:ascii="DIN Next LT Arabic Light" w:hAnsi="DIN Next LT Arabic Light" w:cs="DIN Next LT Arabic Light" w:eastAsia="DIN Next LT Arabic Light"/>
                <w:color w:val="173A46"/>
                <w:sz w:val="18"/>
                <w:szCs w:val="18"/>
              </w:rPr>
              <w:t>3.22</w:t>
            </w:r>
          </w:p>
        </w:tc>
        <w:tc>
          <w:tcPr>
            <w:tcW w:type="dxa" w:w="2531"/>
          </w:tcPr>
          <w:p>
            <w:pPr>
              <w:bidi/>
              <w:spacing w:after="60" w:before="60"/>
              <w:jc w:val="left"/>
            </w:pPr>
            <w:r>
              <w:rPr>
                <w:rFonts w:ascii="DIN Next LT Arabic Light" w:hAnsi="DIN Next LT Arabic Light" w:cs="DIN Next LT Arabic Light" w:eastAsia="DIN Next LT Arabic Light"/>
                <w:color w:val="173A46"/>
                <w:sz w:val="18"/>
                <w:szCs w:val="18"/>
              </w:rPr>
              <w:t>4.60</w:t>
            </w:r>
          </w:p>
        </w:tc>
      </w:tr>
      <w:tr>
        <w:trPr>
          <w:cantSplit/>
        </w:trPr>
        <w:tc>
          <w:tcPr>
            <w:tcW w:type="dxa" w:w="2531"/>
            <w:shd w:fill="F0F6F6"/>
          </w:tcPr>
          <w:p>
            <w:pPr>
              <w:bidi/>
              <w:spacing w:after="60" w:before="60"/>
              <w:jc w:val="left"/>
            </w:pPr>
            <w:r>
              <w:rPr>
                <w:rFonts w:ascii="DIN Next LT Arabic Light" w:hAnsi="DIN Next LT Arabic Light" w:cs="DIN Next LT Arabic Light" w:eastAsia="DIN Next LT Arabic Light"/>
                <w:color w:val="173A46"/>
                <w:sz w:val="18"/>
                <w:szCs w:val="18"/>
              </w:rPr>
              <w:t>MONTESTEAM</w:t>
            </w:r>
          </w:p>
        </w:tc>
        <w:tc>
          <w:tcPr>
            <w:tcW w:type="dxa" w:w="2531"/>
            <w:shd w:fill="F0F6F6"/>
          </w:tcPr>
          <w:p>
            <w:pPr>
              <w:bidi/>
              <w:spacing w:after="60" w:before="60"/>
              <w:jc w:val="left"/>
            </w:pPr>
            <w:r>
              <w:rPr>
                <w:rFonts w:ascii="DIN Next LT Arabic Light" w:hAnsi="DIN Next LT Arabic Light" w:cs="DIN Next LT Arabic Light" w:eastAsia="DIN Next LT Arabic Light"/>
                <w:color w:val="173A46"/>
                <w:sz w:val="18"/>
                <w:szCs w:val="18"/>
              </w:rPr>
              <w:t>1.29</w:t>
            </w:r>
          </w:p>
        </w:tc>
        <w:tc>
          <w:tcPr>
            <w:tcW w:type="dxa" w:w="2531"/>
            <w:shd w:fill="F0F6F6"/>
          </w:tcPr>
          <w:p>
            <w:pPr>
              <w:bidi/>
              <w:spacing w:after="60" w:before="60"/>
              <w:jc w:val="left"/>
            </w:pPr>
            <w:r>
              <w:rPr>
                <w:rFonts w:ascii="DIN Next LT Arabic Light" w:hAnsi="DIN Next LT Arabic Light" w:cs="DIN Next LT Arabic Light" w:eastAsia="DIN Next LT Arabic Light"/>
                <w:color w:val="173A46"/>
                <w:sz w:val="18"/>
                <w:szCs w:val="18"/>
              </w:rPr>
              <w:t>3.01</w:t>
            </w:r>
          </w:p>
        </w:tc>
        <w:tc>
          <w:tcPr>
            <w:tcW w:type="dxa" w:w="2531"/>
            <w:shd w:fill="F0F6F6"/>
          </w:tcPr>
          <w:p>
            <w:pPr>
              <w:bidi/>
              <w:spacing w:after="60" w:before="60"/>
              <w:jc w:val="left"/>
            </w:pPr>
            <w:r>
              <w:rPr>
                <w:rFonts w:ascii="DIN Next LT Arabic Light" w:hAnsi="DIN Next LT Arabic Light" w:cs="DIN Next LT Arabic Light" w:eastAsia="DIN Next LT Arabic Light"/>
                <w:color w:val="173A46"/>
                <w:sz w:val="18"/>
                <w:szCs w:val="18"/>
              </w:rPr>
              <w:t>4.30</w:t>
            </w:r>
          </w:p>
        </w:tc>
      </w:tr>
      <w:tr>
        <w:trPr>
          <w:cantSplit/>
        </w:trPr>
        <w:tc>
          <w:tcPr>
            <w:tcW w:type="dxa" w:w="2531"/>
          </w:tcPr>
          <w:p>
            <w:pPr>
              <w:bidi/>
              <w:spacing w:after="60" w:before="60"/>
              <w:jc w:val="left"/>
            </w:pPr>
            <w:r>
              <w:rPr>
                <w:rFonts w:ascii="DIN Next LT Arabic Light" w:hAnsi="DIN Next LT Arabic Light" w:cs="DIN Next LT Arabic Light" w:eastAsia="DIN Next LT Arabic Light"/>
                <w:color w:val="173A46"/>
                <w:sz w:val="18"/>
                <w:szCs w:val="18"/>
              </w:rPr>
              <w:t>EduMind</w:t>
            </w:r>
          </w:p>
        </w:tc>
        <w:tc>
          <w:tcPr>
            <w:tcW w:type="dxa" w:w="2531"/>
          </w:tcPr>
          <w:p>
            <w:pPr>
              <w:bidi/>
              <w:spacing w:after="60" w:before="60"/>
              <w:jc w:val="left"/>
            </w:pPr>
            <w:r>
              <w:rPr>
                <w:rFonts w:ascii="DIN Next LT Arabic Light" w:hAnsi="DIN Next LT Arabic Light" w:cs="DIN Next LT Arabic Light" w:eastAsia="DIN Next LT Arabic Light"/>
                <w:color w:val="173A46"/>
                <w:sz w:val="18"/>
                <w:szCs w:val="18"/>
              </w:rPr>
              <w:t>5.00</w:t>
            </w:r>
          </w:p>
        </w:tc>
        <w:tc>
          <w:tcPr>
            <w:tcW w:type="dxa" w:w="2531"/>
          </w:tcPr>
          <w:p>
            <w:pPr>
              <w:bidi/>
              <w:spacing w:after="60" w:before="60"/>
              <w:jc w:val="left"/>
            </w:pPr>
            <w:r>
              <w:rPr>
                <w:rFonts w:ascii="DIN Next LT Arabic Light" w:hAnsi="DIN Next LT Arabic Light" w:cs="DIN Next LT Arabic Light" w:eastAsia="DIN Next LT Arabic Light"/>
                <w:color w:val="173A46"/>
                <w:sz w:val="18"/>
                <w:szCs w:val="18"/>
              </w:rPr>
              <w:t>11.67</w:t>
            </w:r>
          </w:p>
        </w:tc>
        <w:tc>
          <w:tcPr>
            <w:tcW w:type="dxa" w:w="2531"/>
          </w:tcPr>
          <w:p>
            <w:pPr>
              <w:bidi/>
              <w:spacing w:after="60" w:before="60"/>
              <w:jc w:val="left"/>
            </w:pPr>
            <w:r>
              <w:rPr>
                <w:rFonts w:ascii="DIN Next LT Arabic Light" w:hAnsi="DIN Next LT Arabic Light" w:cs="DIN Next LT Arabic Light" w:eastAsia="DIN Next LT Arabic Light"/>
                <w:color w:val="173A46"/>
                <w:sz w:val="18"/>
                <w:szCs w:val="18"/>
              </w:rPr>
              <w:t>16.67</w:t>
            </w:r>
          </w:p>
        </w:tc>
      </w:tr>
      <w:tr>
        <w:trPr>
          <w:cantSplit/>
        </w:trPr>
        <w:tc>
          <w:tcPr>
            <w:tcW w:type="dxa" w:w="2531"/>
            <w:shd w:fill="F0F6F6"/>
          </w:tcPr>
          <w:p>
            <w:pPr>
              <w:bidi/>
              <w:spacing w:after="60" w:before="60"/>
              <w:jc w:val="left"/>
            </w:pPr>
            <w:r>
              <w:rPr>
                <w:rFonts w:ascii="DIN Next LT Arabic Light" w:hAnsi="DIN Next LT Arabic Light" w:cs="DIN Next LT Arabic Light" w:eastAsia="DIN Next LT Arabic Light"/>
                <w:color w:val="173A46"/>
                <w:sz w:val="18"/>
                <w:szCs w:val="18"/>
              </w:rPr>
              <w:t>WOO</w:t>
            </w:r>
          </w:p>
        </w:tc>
        <w:tc>
          <w:tcPr>
            <w:tcW w:type="dxa" w:w="2531"/>
            <w:shd w:fill="F0F6F6"/>
          </w:tcPr>
          <w:p>
            <w:pPr>
              <w:bidi/>
              <w:spacing w:after="60" w:before="60"/>
              <w:jc w:val="left"/>
            </w:pPr>
            <w:r>
              <w:rPr>
                <w:rFonts w:ascii="DIN Next LT Arabic Light" w:hAnsi="DIN Next LT Arabic Light" w:cs="DIN Next LT Arabic Light" w:eastAsia="DIN Next LT Arabic Light"/>
                <w:color w:val="173A46"/>
                <w:sz w:val="18"/>
                <w:szCs w:val="18"/>
              </w:rPr>
              <w:t>7.00</w:t>
            </w:r>
          </w:p>
        </w:tc>
        <w:tc>
          <w:tcPr>
            <w:tcW w:type="dxa" w:w="2531"/>
            <w:shd w:fill="F0F6F6"/>
          </w:tcPr>
          <w:p>
            <w:pPr>
              <w:bidi/>
              <w:spacing w:after="60" w:before="60"/>
              <w:jc w:val="left"/>
            </w:pPr>
            <w:r>
              <w:rPr>
                <w:rFonts w:ascii="DIN Next LT Arabic Light" w:hAnsi="DIN Next LT Arabic Light" w:cs="DIN Next LT Arabic Light" w:eastAsia="DIN Next LT Arabic Light"/>
                <w:color w:val="173A46"/>
                <w:sz w:val="18"/>
                <w:szCs w:val="18"/>
              </w:rPr>
              <w:t>16.33</w:t>
            </w:r>
          </w:p>
        </w:tc>
        <w:tc>
          <w:tcPr>
            <w:tcW w:type="dxa" w:w="2531"/>
            <w:shd w:fill="F0F6F6"/>
          </w:tcPr>
          <w:p>
            <w:pPr>
              <w:bidi/>
              <w:spacing w:after="60" w:before="60"/>
              <w:jc w:val="left"/>
            </w:pPr>
            <w:r>
              <w:rPr>
                <w:rFonts w:ascii="DIN Next LT Arabic Light" w:hAnsi="DIN Next LT Arabic Light" w:cs="DIN Next LT Arabic Light" w:eastAsia="DIN Next LT Arabic Light"/>
                <w:color w:val="173A46"/>
                <w:sz w:val="18"/>
                <w:szCs w:val="18"/>
              </w:rPr>
              <w:t>23.33</w:t>
            </w:r>
          </w:p>
        </w:tc>
      </w:tr>
    </w:tbl>
    <w:p>
      <w:pPr>
        <w:spacing w:after="0"/>
      </w:pPr>
    </w:p>
    <w:p>
      <w:pPr>
        <w:bidi/>
        <w:jc w:val="left"/>
      </w:pPr>
      <w:r>
        <w:rPr>
          <w:rFonts w:ascii="DIN Next LT Arabic Light" w:hAnsi="DIN Next LT Arabic Light" w:cs="DIN Next LT Arabic Light" w:eastAsia="DIN Next LT Arabic Light"/>
          <w:color w:val="173A46"/>
          <w:sz w:val="21"/>
          <w:szCs w:val="21"/>
        </w:rPr>
        <w:t>الحصة المقترحة لكل كيان 30% بعد زيادة رأس المال؛ القيمة بعد التمويل = التمويل ÷ الحصة. يمكن اختيار تطبيق مستقل أو الحزمة. مجموع التطبيقات 7.67 مليون؛ اختيار التطبيقات وWOO معًا يعني 14.67 مليون، وليس مبلغًا إلزاميًا لمسار واحد.</w:t>
      </w:r>
    </w:p>
    <w:tbl>
      <w:tblPr>
        <w:tblW w:type="auto" w:w="0"/>
        <w:jc w:val="center"/>
        <w:tblLayout w:type="autofit"/>
        <w:tblLook w:firstColumn="1" w:firstRow="1" w:lastColumn="0" w:lastRow="0" w:noHBand="0" w:noVBand="1" w:val="04A0"/>
        <w:bidiVisual/>
      </w:tblPr>
      <w:tblGrid>
        <w:gridCol w:w="5061"/>
        <w:gridCol w:w="5061"/>
      </w:tblGrid>
      <w:tr>
        <w:trPr>
          <w:cantSplit/>
        </w:trPr>
        <w:tc>
          <w:tcPr>
            <w:tcW w:type="dxa" w:w="5061"/>
            <w:shd w:fill="073B4A"/>
          </w:tcPr>
          <w:p>
            <w:pPr>
              <w:bidi/>
              <w:jc w:val="left"/>
            </w:pPr>
            <w:r>
              <w:rPr>
                <w:rFonts w:ascii="DIN Next LT Arabic Medium" w:hAnsi="DIN Next LT Arabic Medium" w:cs="DIN Next LT Arabic Medium" w:eastAsia="DIN Next LT Arabic Medium"/>
                <w:color w:val="FFFFFF"/>
                <w:sz w:val="18"/>
                <w:szCs w:val="18"/>
              </w:rPr>
              <w:t>البند</w:t>
            </w:r>
          </w:p>
        </w:tc>
        <w:tc>
          <w:tcPr>
            <w:tcW w:type="dxa" w:w="5061"/>
            <w:shd w:fill="073B4A"/>
          </w:tcPr>
          <w:p>
            <w:pPr>
              <w:bidi/>
              <w:jc w:val="left"/>
            </w:pPr>
            <w:r>
              <w:rPr>
                <w:rFonts w:ascii="DIN Next LT Arabic Medium" w:hAnsi="DIN Next LT Arabic Medium" w:cs="DIN Next LT Arabic Medium" w:eastAsia="DIN Next LT Arabic Medium"/>
                <w:color w:val="FFFFFF"/>
                <w:sz w:val="18"/>
                <w:szCs w:val="18"/>
              </w:rPr>
              <w:t>المقترح</w:t>
            </w:r>
          </w:p>
        </w:tc>
      </w:tr>
      <w:tr>
        <w:trPr>
          <w:cantSplit/>
        </w:trPr>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نوع الدخول</w:t>
            </w:r>
          </w:p>
        </w:tc>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زيادة رأس مال الشركة المستهدفة لتمويل النمو</w:t>
            </w:r>
          </w:p>
        </w:tc>
      </w:tr>
      <w:tr>
        <w:trPr>
          <w:cantSplit/>
        </w:trPr>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نطاق الأصول</w:t>
            </w:r>
          </w:p>
        </w:tc>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برمجيات وتطبيق وعلامات ومواقع وحقوق استخدام وفق الكيان</w:t>
            </w:r>
          </w:p>
        </w:tc>
      </w:tr>
      <w:tr>
        <w:trPr>
          <w:cantSplit/>
        </w:trPr>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القيمة</w:t>
            </w:r>
          </w:p>
        </w:tc>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نقطة تفاوض تحتاج فحصًا؛ ليست تقرير قيمة عادلة مستقلًا</w:t>
            </w:r>
          </w:p>
        </w:tc>
      </w:tr>
      <w:tr>
        <w:trPr>
          <w:cantSplit/>
        </w:trPr>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حقوق قائمة</w:t>
            </w:r>
          </w:p>
        </w:tc>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كشف بالعقود والحقوق والالتزامات قبل الإقفال</w:t>
            </w:r>
          </w:p>
        </w:tc>
      </w:tr>
      <w:tr>
        <w:trPr>
          <w:cantSplit/>
        </w:trPr>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التوزيع</w:t>
            </w:r>
          </w:p>
        </w:tc>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استهداف 50% من الربح المرشح، مقيد بالنقد والقرار</w:t>
            </w:r>
          </w:p>
        </w:tc>
      </w:tr>
      <w:tr>
        <w:trPr>
          <w:cantSplit/>
        </w:trPr>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الخروج</w:t>
            </w:r>
          </w:p>
        </w:tc>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بيع لاحق محتمل؛ لا سعر بيع أو مشتري ملتزم</w:t>
            </w:r>
          </w:p>
        </w:tc>
      </w:tr>
      <w:tr>
        <w:trPr>
          <w:cantSplit/>
        </w:trPr>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تمثيل وحوكمة</w:t>
            </w:r>
          </w:p>
        </w:tc>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يتحدد تمثيل المستثمر والقرارات المحجوزة في الاتفاق</w:t>
            </w:r>
          </w:p>
        </w:tc>
      </w:tr>
    </w:tbl>
    <w:p>
      <w:pPr>
        <w:spacing w:after="0"/>
      </w:pPr>
    </w:p>
    <w:p>
      <w:pPr>
        <w:bidi/>
        <w:jc w:val="left"/>
        <w:shd w:fill="EAF5F4"/>
      </w:pPr>
      <w:r>
        <w:rPr>
          <w:rFonts w:ascii="DIN Next LT Arabic Light" w:hAnsi="DIN Next LT Arabic Light" w:cs="DIN Next LT Arabic Light" w:eastAsia="DIN Next LT Arabic Light"/>
          <w:color w:val="173A46"/>
          <w:sz w:val="18"/>
          <w:szCs w:val="18"/>
        </w:rPr>
        <w:t>مذكرة تفاوض غير ملزمة. لا تمنح حصة في القابضة؛ نطاق الشركة وأصولها وحقوقها وموافقات الشركاء يثبت بالاتفاق النهائي.</w:t>
      </w:r>
    </w:p>
    <w:p>
      <w:r>
        <w:br w:type="page"/>
      </w:r>
    </w:p>
    <w:p>
      <w:pPr>
        <w:pStyle w:val="Heading1"/>
        <w:bidi/>
        <w:jc w:val="left"/>
      </w:pPr>
      <w:r>
        <w:rPr>
          <w:rFonts w:ascii="DIN Next LT Arabic Medium" w:hAnsi="DIN Next LT Arabic Medium" w:cs="DIN Next LT Arabic Medium" w:eastAsia="DIN Next LT Arabic Medium"/>
          <w:color w:val="173A46"/>
          <w:sz w:val="46"/>
          <w:szCs w:val="46"/>
        </w:rPr>
        <w:t>حقوق الشركاء ومعالجة السيولة</w:t>
      </w:r>
    </w:p>
    <w:tbl>
      <w:tblPr>
        <w:tblW w:type="auto" w:w="0"/>
        <w:jc w:val="center"/>
        <w:tblLayout w:type="autofit"/>
        <w:tblLook w:firstColumn="1" w:firstRow="1" w:lastColumn="0" w:lastRow="0" w:noHBand="0" w:noVBand="1" w:val="04A0"/>
        <w:bidiVisual/>
      </w:tblPr>
      <w:tblGrid>
        <w:gridCol w:w="3374"/>
        <w:gridCol w:w="3374"/>
        <w:gridCol w:w="3374"/>
      </w:tblGrid>
      <w:tr>
        <w:trPr>
          <w:cantSplit/>
        </w:trPr>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صاحب الحق</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نطاق الحق</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معاملة النموذج</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Little Inventor</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JV للبرامج الخارجية</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40% من نتيجة JV؛ نطاق مستقل عن حصة المستثمر الجديد</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نيوهورايزون</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ساحة سيد الشهداء وتكية بحر</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20% من نتيجة المشروعين، واسترداد أصل وفق الاتفاق</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المستثمر الجديد</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الشركة المختارة</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30% بعد زيادة رأس المال</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اختبار WOO</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الأرباح والتدفق والالتزامات</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20% حسم احترازي + 10% للالتزامات غير المسعرة</w:t>
            </w:r>
          </w:p>
        </w:tc>
      </w:tr>
    </w:tbl>
    <w:p>
      <w:pPr>
        <w:spacing w:after="0"/>
      </w:pPr>
    </w:p>
    <w:tbl>
      <w:tblPr>
        <w:tblW w:type="auto" w:w="0"/>
        <w:jc w:val="center"/>
        <w:tblLayout w:type="autofit"/>
        <w:tblLook w:firstColumn="1" w:firstRow="1" w:lastColumn="0" w:lastRow="0" w:noHBand="0" w:noVBand="1" w:val="04A0"/>
        <w:bidiVisual/>
      </w:tblPr>
      <w:tblGrid>
        <w:gridCol w:w="5061"/>
        <w:gridCol w:w="5061"/>
      </w:tblGrid>
      <w:tr>
        <w:trPr>
          <w:cantSplit/>
        </w:trPr>
        <w:tc>
          <w:tcPr>
            <w:tcW w:type="dxa" w:w="5061"/>
            <w:shd w:fill="073B4A"/>
          </w:tcPr>
          <w:p>
            <w:pPr>
              <w:bidi/>
              <w:jc w:val="left"/>
            </w:pPr>
            <w:r>
              <w:rPr>
                <w:rFonts w:ascii="DIN Next LT Arabic Medium" w:hAnsi="DIN Next LT Arabic Medium" w:cs="DIN Next LT Arabic Medium" w:eastAsia="DIN Next LT Arabic Medium"/>
                <w:color w:val="FFFFFF"/>
                <w:sz w:val="18"/>
                <w:szCs w:val="18"/>
              </w:rPr>
              <w:t>نيوهورايزون / تمويل سابق</w:t>
            </w:r>
          </w:p>
        </w:tc>
        <w:tc>
          <w:tcPr>
            <w:tcW w:type="dxa" w:w="5061"/>
            <w:shd w:fill="073B4A"/>
          </w:tcPr>
          <w:p>
            <w:pPr>
              <w:bidi/>
              <w:jc w:val="left"/>
            </w:pPr>
            <w:r>
              <w:rPr>
                <w:rFonts w:ascii="DIN Next LT Arabic Medium" w:hAnsi="DIN Next LT Arabic Medium" w:cs="DIN Next LT Arabic Medium" w:eastAsia="DIN Next LT Arabic Medium"/>
                <w:color w:val="FFFFFF"/>
                <w:sz w:val="18"/>
                <w:szCs w:val="18"/>
              </w:rPr>
              <w:t>ريال</w:t>
            </w:r>
          </w:p>
        </w:tc>
      </w:tr>
      <w:tr>
        <w:trPr>
          <w:cantSplit/>
        </w:trPr>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ساحة سيد الشهداء</w:t>
            </w:r>
          </w:p>
        </w:tc>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1,260,000</w:t>
            </w:r>
          </w:p>
        </w:tc>
      </w:tr>
      <w:tr>
        <w:trPr>
          <w:cantSplit/>
        </w:trPr>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تكية بحر</w:t>
            </w:r>
          </w:p>
        </w:tc>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240,000</w:t>
            </w:r>
          </w:p>
        </w:tc>
      </w:tr>
      <w:tr>
        <w:trPr>
          <w:cantSplit/>
        </w:trPr>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الإجمالي</w:t>
            </w:r>
          </w:p>
        </w:tc>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1,500,000</w:t>
            </w:r>
          </w:p>
        </w:tc>
      </w:tr>
    </w:tbl>
    <w:p>
      <w:pPr>
        <w:spacing w:after="0"/>
      </w:pPr>
    </w:p>
    <w:p>
      <w:pPr>
        <w:bidi/>
        <w:jc w:val="left"/>
      </w:pPr>
      <w:r>
        <w:rPr>
          <w:rFonts w:ascii="DIN Next LT Arabic Light" w:hAnsi="DIN Next LT Arabic Light" w:cs="DIN Next LT Arabic Light" w:eastAsia="DIN Next LT Arabic Light"/>
          <w:color w:val="173A46"/>
          <w:sz w:val="21"/>
          <w:szCs w:val="21"/>
        </w:rPr>
        <w:t>التوزيع وفق أحدث تحديث للإدارة، ويطابق بالاتفاق والتحويل. مخصص استرداد الأصل 1.5 مليون في السنة الأولى اختبار سيولة قابل للتعديل، وليس تاريخ سداد متفقًا عليه.</w:t>
      </w:r>
    </w:p>
    <w:p>
      <w:pPr>
        <w:bidi/>
        <w:jc w:val="left"/>
        <w:shd w:fill="EAF5F4"/>
      </w:pPr>
      <w:r>
        <w:rPr>
          <w:rFonts w:ascii="DIN Next LT Arabic Light" w:hAnsi="DIN Next LT Arabic Light" w:cs="DIN Next LT Arabic Light" w:eastAsia="DIN Next LT Arabic Light"/>
          <w:color w:val="173A46"/>
          <w:sz w:val="18"/>
          <w:szCs w:val="18"/>
        </w:rPr>
        <w:t>تثبت بداية الاستحقاق وحساب الأرباح والأولوية ونطاق الأصول والعوائد. الحسم 10% احترازي وليس حساب زكاة أو ضريبة نظامي. لا تضاف الأموال السابقة إلى رصيد البنك تلقائيًا، ونقد JV المقيد لا يتاح لتوزيع WOO قبل انتقاله.</w:t>
      </w:r>
    </w:p>
    <w:p>
      <w:r>
        <w:br w:type="page"/>
      </w:r>
    </w:p>
    <w:p>
      <w:pPr>
        <w:pStyle w:val="Heading1"/>
        <w:bidi/>
        <w:jc w:val="left"/>
      </w:pPr>
      <w:r>
        <w:rPr>
          <w:rFonts w:ascii="DIN Next LT Arabic Medium" w:hAnsi="DIN Next LT Arabic Medium" w:cs="DIN Next LT Arabic Medium" w:eastAsia="DIN Next LT Arabic Medium"/>
          <w:color w:val="173A46"/>
          <w:sz w:val="46"/>
          <w:szCs w:val="46"/>
        </w:rPr>
        <w:t>العائد المرجعي والعائد بحسب الدفعات</w:t>
      </w:r>
    </w:p>
    <w:tbl>
      <w:tblPr>
        <w:tblW w:type="auto" w:w="0"/>
        <w:jc w:val="center"/>
        <w:tblLayout w:type="autofit"/>
        <w:tblLook w:firstColumn="1" w:firstRow="1" w:lastColumn="0" w:lastRow="0" w:noHBand="0" w:noVBand="1" w:val="04A0"/>
        <w:bidiVisual/>
      </w:tblPr>
      <w:tblGrid>
        <w:gridCol w:w="1687"/>
        <w:gridCol w:w="1687"/>
        <w:gridCol w:w="1687"/>
        <w:gridCol w:w="1687"/>
        <w:gridCol w:w="1687"/>
        <w:gridCol w:w="1687"/>
      </w:tblGrid>
      <w:tr>
        <w:trPr>
          <w:cantSplit/>
        </w:trPr>
        <w:tc>
          <w:tcPr>
            <w:tcW w:type="dxa" w:w="1687"/>
            <w:shd w:fill="073B4A"/>
          </w:tcPr>
          <w:p>
            <w:pPr>
              <w:bidi/>
              <w:jc w:val="left"/>
            </w:pPr>
            <w:r>
              <w:rPr>
                <w:rFonts w:ascii="DIN Next LT Arabic Medium" w:hAnsi="DIN Next LT Arabic Medium" w:cs="DIN Next LT Arabic Medium" w:eastAsia="DIN Next LT Arabic Medium"/>
                <w:color w:val="FFFFFF"/>
                <w:sz w:val="18"/>
                <w:szCs w:val="18"/>
              </w:rPr>
              <w:t>المسار</w:t>
            </w:r>
          </w:p>
        </w:tc>
        <w:tc>
          <w:tcPr>
            <w:tcW w:type="dxa" w:w="1687"/>
            <w:shd w:fill="073B4A"/>
          </w:tcPr>
          <w:p>
            <w:pPr>
              <w:bidi/>
              <w:jc w:val="left"/>
            </w:pPr>
            <w:r>
              <w:rPr>
                <w:rFonts w:ascii="DIN Next LT Arabic Medium" w:hAnsi="DIN Next LT Arabic Medium" w:cs="DIN Next LT Arabic Medium" w:eastAsia="DIN Next LT Arabic Medium"/>
                <w:color w:val="FFFFFF"/>
                <w:sz w:val="18"/>
                <w:szCs w:val="18"/>
              </w:rPr>
              <w:t>توزيعات 3 سنوات / مليون</w:t>
            </w:r>
          </w:p>
        </w:tc>
        <w:tc>
          <w:tcPr>
            <w:tcW w:type="dxa" w:w="1687"/>
            <w:shd w:fill="073B4A"/>
          </w:tcPr>
          <w:p>
            <w:pPr>
              <w:bidi/>
              <w:jc w:val="left"/>
            </w:pPr>
            <w:r>
              <w:rPr>
                <w:rFonts w:ascii="DIN Next LT Arabic Medium" w:hAnsi="DIN Next LT Arabic Medium" w:cs="DIN Next LT Arabic Medium" w:eastAsia="DIN Next LT Arabic Medium"/>
                <w:color w:val="FFFFFF"/>
                <w:sz w:val="18"/>
                <w:szCs w:val="18"/>
              </w:rPr>
              <w:t>حصة خروج / مليون</w:t>
            </w:r>
          </w:p>
        </w:tc>
        <w:tc>
          <w:tcPr>
            <w:tcW w:type="dxa" w:w="1687"/>
            <w:shd w:fill="073B4A"/>
          </w:tcPr>
          <w:p>
            <w:pPr>
              <w:bidi/>
              <w:jc w:val="left"/>
            </w:pPr>
            <w:r>
              <w:rPr>
                <w:rFonts w:ascii="DIN Next LT Arabic Medium" w:hAnsi="DIN Next LT Arabic Medium" w:cs="DIN Next LT Arabic Medium" w:eastAsia="DIN Next LT Arabic Medium"/>
                <w:color w:val="FFFFFF"/>
                <w:sz w:val="18"/>
                <w:szCs w:val="18"/>
              </w:rPr>
              <w:t>MOIC</w:t>
            </w:r>
          </w:p>
        </w:tc>
        <w:tc>
          <w:tcPr>
            <w:tcW w:type="dxa" w:w="1687"/>
            <w:shd w:fill="073B4A"/>
          </w:tcPr>
          <w:p>
            <w:pPr>
              <w:bidi/>
              <w:jc w:val="left"/>
            </w:pPr>
            <w:r>
              <w:rPr>
                <w:rFonts w:ascii="DIN Next LT Arabic Medium" w:hAnsi="DIN Next LT Arabic Medium" w:cs="DIN Next LT Arabic Medium" w:eastAsia="DIN Next LT Arabic Medium"/>
                <w:color w:val="FFFFFF"/>
                <w:sz w:val="18"/>
                <w:szCs w:val="18"/>
              </w:rPr>
              <w:t>IRR مرجعي</w:t>
            </w:r>
          </w:p>
        </w:tc>
        <w:tc>
          <w:tcPr>
            <w:tcW w:type="dxa" w:w="1687"/>
            <w:shd w:fill="073B4A"/>
          </w:tcPr>
          <w:p>
            <w:pPr>
              <w:bidi/>
              <w:jc w:val="left"/>
            </w:pPr>
            <w:r>
              <w:rPr>
                <w:rFonts w:ascii="DIN Next LT Arabic Medium" w:hAnsi="DIN Next LT Arabic Medium" w:cs="DIN Next LT Arabic Medium" w:eastAsia="DIN Next LT Arabic Medium"/>
                <w:color w:val="FFFFFF"/>
                <w:sz w:val="18"/>
                <w:szCs w:val="18"/>
              </w:rPr>
              <w:t>XIRR مؤرخ</w:t>
            </w:r>
          </w:p>
        </w:tc>
      </w:tr>
      <w:tr>
        <w:trPr>
          <w:cantSplit/>
        </w:trPr>
        <w:tc>
          <w:tcPr>
            <w:tcW w:type="dxa" w:w="1687"/>
          </w:tcPr>
          <w:p>
            <w:pPr>
              <w:bidi/>
              <w:spacing w:after="60" w:before="60"/>
              <w:jc w:val="left"/>
            </w:pPr>
            <w:r>
              <w:rPr>
                <w:rFonts w:ascii="DIN Next LT Arabic Light" w:hAnsi="DIN Next LT Arabic Light" w:cs="DIN Next LT Arabic Light" w:eastAsia="DIN Next LT Arabic Light"/>
                <w:color w:val="173A46"/>
                <w:sz w:val="18"/>
                <w:szCs w:val="18"/>
              </w:rPr>
              <w:t>التطبيقات</w:t>
            </w:r>
          </w:p>
        </w:tc>
        <w:tc>
          <w:tcPr>
            <w:tcW w:type="dxa" w:w="1687"/>
          </w:tcPr>
          <w:p>
            <w:pPr>
              <w:bidi/>
              <w:spacing w:after="60" w:before="60"/>
              <w:jc w:val="left"/>
            </w:pPr>
            <w:r>
              <w:rPr>
                <w:rFonts w:ascii="DIN Next LT Arabic Light" w:hAnsi="DIN Next LT Arabic Light" w:cs="DIN Next LT Arabic Light" w:eastAsia="DIN Next LT Arabic Light"/>
                <w:color w:val="173A46"/>
                <w:sz w:val="18"/>
                <w:szCs w:val="18"/>
              </w:rPr>
              <w:t>0.943</w:t>
            </w:r>
          </w:p>
        </w:tc>
        <w:tc>
          <w:tcPr>
            <w:tcW w:type="dxa" w:w="1687"/>
          </w:tcPr>
          <w:p>
            <w:pPr>
              <w:bidi/>
              <w:spacing w:after="60" w:before="60"/>
              <w:jc w:val="left"/>
            </w:pPr>
            <w:r>
              <w:rPr>
                <w:rFonts w:ascii="DIN Next LT Arabic Light" w:hAnsi="DIN Next LT Arabic Light" w:cs="DIN Next LT Arabic Light" w:eastAsia="DIN Next LT Arabic Light"/>
                <w:color w:val="173A46"/>
                <w:sz w:val="18"/>
                <w:szCs w:val="18"/>
              </w:rPr>
              <w:t>9.827</w:t>
            </w:r>
          </w:p>
        </w:tc>
        <w:tc>
          <w:tcPr>
            <w:tcW w:type="dxa" w:w="1687"/>
          </w:tcPr>
          <w:p>
            <w:pPr>
              <w:bidi/>
              <w:spacing w:after="60" w:before="60"/>
              <w:jc w:val="left"/>
            </w:pPr>
            <w:r>
              <w:rPr>
                <w:rFonts w:ascii="DIN Next LT Arabic Light" w:hAnsi="DIN Next LT Arabic Light" w:cs="DIN Next LT Arabic Light" w:eastAsia="DIN Next LT Arabic Light"/>
                <w:color w:val="173A46"/>
                <w:sz w:val="18"/>
                <w:szCs w:val="18"/>
              </w:rPr>
              <w:t>1.40x</w:t>
            </w:r>
          </w:p>
        </w:tc>
        <w:tc>
          <w:tcPr>
            <w:tcW w:type="dxa" w:w="1687"/>
          </w:tcPr>
          <w:p>
            <w:pPr>
              <w:bidi/>
              <w:spacing w:after="60" w:before="60"/>
              <w:jc w:val="left"/>
            </w:pPr>
            <w:r>
              <w:rPr>
                <w:rFonts w:ascii="DIN Next LT Arabic Light" w:hAnsi="DIN Next LT Arabic Light" w:cs="DIN Next LT Arabic Light" w:eastAsia="DIN Next LT Arabic Light"/>
                <w:color w:val="173A46"/>
                <w:sz w:val="18"/>
                <w:szCs w:val="18"/>
              </w:rPr>
              <w:t>12.1%</w:t>
            </w:r>
          </w:p>
        </w:tc>
        <w:tc>
          <w:tcPr>
            <w:tcW w:type="dxa" w:w="1687"/>
          </w:tcPr>
          <w:p>
            <w:pPr>
              <w:bidi/>
              <w:spacing w:after="60" w:before="60"/>
              <w:jc w:val="left"/>
            </w:pPr>
            <w:r>
              <w:rPr>
                <w:rFonts w:ascii="DIN Next LT Arabic Light" w:hAnsi="DIN Next LT Arabic Light" w:cs="DIN Next LT Arabic Light" w:eastAsia="DIN Next LT Arabic Light"/>
                <w:color w:val="173A46"/>
                <w:sz w:val="18"/>
                <w:szCs w:val="18"/>
              </w:rPr>
              <w:t>11.8%</w:t>
            </w:r>
          </w:p>
        </w:tc>
      </w:tr>
      <w:tr>
        <w:trPr>
          <w:cantSplit/>
        </w:trPr>
        <w:tc>
          <w:tcPr>
            <w:tcW w:type="dxa" w:w="1687"/>
            <w:shd w:fill="F0F6F6"/>
          </w:tcPr>
          <w:p>
            <w:pPr>
              <w:bidi/>
              <w:spacing w:after="60" w:before="60"/>
              <w:jc w:val="left"/>
            </w:pPr>
            <w:r>
              <w:rPr>
                <w:rFonts w:ascii="DIN Next LT Arabic Light" w:hAnsi="DIN Next LT Arabic Light" w:cs="DIN Next LT Arabic Light" w:eastAsia="DIN Next LT Arabic Light"/>
                <w:color w:val="173A46"/>
                <w:sz w:val="18"/>
                <w:szCs w:val="18"/>
              </w:rPr>
              <w:t>WOO</w:t>
            </w:r>
          </w:p>
        </w:tc>
        <w:tc>
          <w:tcPr>
            <w:tcW w:type="dxa" w:w="1687"/>
            <w:shd w:fill="F0F6F6"/>
          </w:tcPr>
          <w:p>
            <w:pPr>
              <w:bidi/>
              <w:spacing w:after="60" w:before="60"/>
              <w:jc w:val="left"/>
            </w:pPr>
            <w:r>
              <w:rPr>
                <w:rFonts w:ascii="DIN Next LT Arabic Light" w:hAnsi="DIN Next LT Arabic Light" w:cs="DIN Next LT Arabic Light" w:eastAsia="DIN Next LT Arabic Light"/>
                <w:color w:val="173A46"/>
                <w:sz w:val="18"/>
                <w:szCs w:val="18"/>
              </w:rPr>
              <w:t>2.285</w:t>
            </w:r>
          </w:p>
        </w:tc>
        <w:tc>
          <w:tcPr>
            <w:tcW w:type="dxa" w:w="1687"/>
            <w:shd w:fill="F0F6F6"/>
          </w:tcPr>
          <w:p>
            <w:pPr>
              <w:bidi/>
              <w:spacing w:after="60" w:before="60"/>
              <w:jc w:val="left"/>
            </w:pPr>
            <w:r>
              <w:rPr>
                <w:rFonts w:ascii="DIN Next LT Arabic Light" w:hAnsi="DIN Next LT Arabic Light" w:cs="DIN Next LT Arabic Light" w:eastAsia="DIN Next LT Arabic Light"/>
                <w:color w:val="173A46"/>
                <w:sz w:val="18"/>
                <w:szCs w:val="18"/>
              </w:rPr>
              <w:t>16.498</w:t>
            </w:r>
          </w:p>
        </w:tc>
        <w:tc>
          <w:tcPr>
            <w:tcW w:type="dxa" w:w="1687"/>
            <w:shd w:fill="F0F6F6"/>
          </w:tcPr>
          <w:p>
            <w:pPr>
              <w:bidi/>
              <w:spacing w:after="60" w:before="60"/>
              <w:jc w:val="left"/>
            </w:pPr>
            <w:r>
              <w:rPr>
                <w:rFonts w:ascii="DIN Next LT Arabic Light" w:hAnsi="DIN Next LT Arabic Light" w:cs="DIN Next LT Arabic Light" w:eastAsia="DIN Next LT Arabic Light"/>
                <w:color w:val="173A46"/>
                <w:sz w:val="18"/>
                <w:szCs w:val="18"/>
              </w:rPr>
              <w:t>2.68x</w:t>
            </w:r>
          </w:p>
        </w:tc>
        <w:tc>
          <w:tcPr>
            <w:tcW w:type="dxa" w:w="1687"/>
            <w:shd w:fill="F0F6F6"/>
          </w:tcPr>
          <w:p>
            <w:pPr>
              <w:bidi/>
              <w:spacing w:after="60" w:before="60"/>
              <w:jc w:val="left"/>
            </w:pPr>
            <w:r>
              <w:rPr>
                <w:rFonts w:ascii="DIN Next LT Arabic Light" w:hAnsi="DIN Next LT Arabic Light" w:cs="DIN Next LT Arabic Light" w:eastAsia="DIN Next LT Arabic Light"/>
                <w:color w:val="173A46"/>
                <w:sz w:val="18"/>
                <w:szCs w:val="18"/>
              </w:rPr>
              <w:t>39.8%</w:t>
            </w:r>
          </w:p>
        </w:tc>
        <w:tc>
          <w:tcPr>
            <w:tcW w:type="dxa" w:w="1687"/>
            <w:shd w:fill="F0F6F6"/>
          </w:tcPr>
          <w:p>
            <w:pPr>
              <w:bidi/>
              <w:spacing w:after="60" w:before="60"/>
              <w:jc w:val="left"/>
            </w:pPr>
            <w:r>
              <w:rPr>
                <w:rFonts w:ascii="DIN Next LT Arabic Light" w:hAnsi="DIN Next LT Arabic Light" w:cs="DIN Next LT Arabic Light" w:eastAsia="DIN Next LT Arabic Light"/>
                <w:color w:val="173A46"/>
                <w:sz w:val="18"/>
                <w:szCs w:val="18"/>
              </w:rPr>
              <w:t>44.6%</w:t>
            </w:r>
          </w:p>
        </w:tc>
      </w:tr>
    </w:tbl>
    <w:p>
      <w:pPr>
        <w:spacing w:after="0"/>
      </w:pPr>
    </w:p>
    <w:p>
      <w:pPr>
        <w:bidi/>
        <w:jc w:val="left"/>
      </w:pPr>
      <w:r>
        <w:rPr>
          <w:rFonts w:ascii="DIN Next LT Arabic Light" w:hAnsi="DIN Next LT Arabic Light" w:cs="DIN Next LT Arabic Light" w:eastAsia="DIN Next LT Arabic Light"/>
          <w:color w:val="173A46"/>
          <w:sz w:val="21"/>
          <w:szCs w:val="21"/>
        </w:rPr>
        <w:t>IRR المرجعي يفترض التمويل كاملًا في البداية وثلاث فترات سنوية متساوية. XIRR يحسب الدفعات والتوزيعات والخروج بتواريخ الجدول المقترح؛ لذلك قد يختلف رغم ثبات مبالغ التوزيع والبيع.</w:t>
      </w:r>
    </w:p>
    <w:tbl>
      <w:tblPr>
        <w:tblW w:type="auto" w:w="0"/>
        <w:jc w:val="center"/>
        <w:tblLayout w:type="autofit"/>
        <w:tblLook w:firstColumn="1" w:firstRow="1" w:lastColumn="0" w:lastRow="0" w:noHBand="0" w:noVBand="1" w:val="04A0"/>
        <w:bidiVisual/>
      </w:tblPr>
      <w:tblGrid>
        <w:gridCol w:w="3374"/>
        <w:gridCol w:w="3374"/>
        <w:gridCol w:w="3374"/>
      </w:tblGrid>
      <w:tr>
        <w:trPr>
          <w:cantSplit/>
        </w:trPr>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الافتراض</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التطبيقات</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WOO</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فترة التشغيل</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2027–2029</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سبتمبر 2026–أغسطس 2029</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مضاعف الخروج</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6 × EBITDA</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5 × EBITDA</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نسبة المستثمر</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حصة كل شركة مستقلة</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حصة WOO</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صافي الدين للخروج</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صفر افتراضي لكل شركة</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صفر افتراضي</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عائد نقدي السنة الثالثة</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8.4%</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19.9%</w:t>
            </w:r>
          </w:p>
        </w:tc>
      </w:tr>
    </w:tbl>
    <w:p>
      <w:pPr>
        <w:spacing w:after="0"/>
      </w:pPr>
    </w:p>
    <w:p>
      <w:pPr>
        <w:bidi/>
        <w:jc w:val="left"/>
        <w:shd w:fill="EAF5F4"/>
      </w:pPr>
      <w:r>
        <w:rPr>
          <w:rFonts w:ascii="DIN Next LT Arabic Light" w:hAnsi="DIN Next LT Arabic Light" w:cs="DIN Next LT Arabic Light" w:eastAsia="DIN Next LT Arabic Light"/>
          <w:color w:val="173A46"/>
          <w:sz w:val="18"/>
          <w:szCs w:val="18"/>
        </w:rPr>
        <w:t>العوائد توقعات وليست ضمانًا. الخروج يتطلب EBITDA مستقبلية وسعرًا ومشتريًا والتزامات مسواة. الأرصدة النقدية الختامية تظهر للمراجعة ولا تضاف تلقائيًا إلى البيع؛ يسوى صافي الدين وفق النقد القابل للتوزيع دون ازدواج.</w:t>
      </w:r>
    </w:p>
    <w:p>
      <w:r>
        <w:br w:type="page"/>
      </w:r>
    </w:p>
    <w:p>
      <w:pPr>
        <w:pStyle w:val="Heading1"/>
        <w:bidi/>
        <w:jc w:val="left"/>
      </w:pPr>
      <w:r>
        <w:rPr>
          <w:rFonts w:ascii="DIN Next LT Arabic Medium" w:hAnsi="DIN Next LT Arabic Medium" w:cs="DIN Next LT Arabic Medium" w:eastAsia="DIN Next LT Arabic Medium"/>
          <w:color w:val="173A46"/>
          <w:sz w:val="46"/>
          <w:szCs w:val="46"/>
        </w:rPr>
        <w:t>فحص كفاية التمويل والرصيد الشهري</w:t>
      </w:r>
    </w:p>
    <w:tbl>
      <w:tblPr>
        <w:tblW w:type="auto" w:w="0"/>
        <w:jc w:val="center"/>
        <w:tblLayout w:type="autofit"/>
        <w:tblLook w:firstColumn="1" w:firstRow="1" w:lastColumn="0" w:lastRow="0" w:noHBand="0" w:noVBand="1" w:val="04A0"/>
        <w:bidiVisual/>
      </w:tblPr>
      <w:tblGrid>
        <w:gridCol w:w="5061"/>
        <w:gridCol w:w="5061"/>
      </w:tblGrid>
      <w:tr>
        <w:trPr>
          <w:cantSplit/>
        </w:trPr>
        <w:tc>
          <w:tcPr>
            <w:tcW w:type="dxa" w:w="5061"/>
            <w:shd w:fill="073B4A"/>
          </w:tcPr>
          <w:p>
            <w:pPr>
              <w:bidi/>
              <w:jc w:val="left"/>
            </w:pPr>
            <w:r>
              <w:rPr>
                <w:rFonts w:ascii="DIN Next LT Arabic Medium" w:hAnsi="DIN Next LT Arabic Medium" w:cs="DIN Next LT Arabic Medium" w:eastAsia="DIN Next LT Arabic Medium"/>
                <w:color w:val="FFFFFF"/>
                <w:sz w:val="18"/>
                <w:szCs w:val="18"/>
              </w:rPr>
              <w:t>جسر تمويل WOO</w:t>
            </w:r>
          </w:p>
        </w:tc>
        <w:tc>
          <w:tcPr>
            <w:tcW w:type="dxa" w:w="5061"/>
            <w:shd w:fill="073B4A"/>
          </w:tcPr>
          <w:p>
            <w:pPr>
              <w:bidi/>
              <w:jc w:val="left"/>
            </w:pPr>
            <w:r>
              <w:rPr>
                <w:rFonts w:ascii="DIN Next LT Arabic Medium" w:hAnsi="DIN Next LT Arabic Medium" w:cs="DIN Next LT Arabic Medium" w:eastAsia="DIN Next LT Arabic Medium"/>
                <w:color w:val="FFFFFF"/>
                <w:sz w:val="18"/>
                <w:szCs w:val="18"/>
              </w:rPr>
              <w:t>ريال</w:t>
            </w:r>
          </w:p>
        </w:tc>
      </w:tr>
      <w:tr>
        <w:trPr>
          <w:cantSplit/>
        </w:trPr>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عجز المصدر الأقصى</w:t>
            </w:r>
          </w:p>
        </w:tc>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3,165,779</w:t>
            </w:r>
          </w:p>
        </w:tc>
      </w:tr>
      <w:tr>
        <w:trPr>
          <w:cantSplit/>
        </w:trPr>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جسر VAT للتجهيز</w:t>
            </w:r>
          </w:p>
        </w:tc>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642,600</w:t>
            </w:r>
          </w:p>
        </w:tc>
      </w:tr>
      <w:tr>
        <w:trPr>
          <w:cantSplit/>
        </w:trPr>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فجوة الحقوق والحسم الإضافية</w:t>
            </w:r>
          </w:p>
        </w:tc>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2,942,307</w:t>
            </w:r>
          </w:p>
        </w:tc>
      </w:tr>
      <w:tr>
        <w:trPr>
          <w:cantSplit/>
        </w:trPr>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سقف الفحص السنوي المحافظ</w:t>
            </w:r>
          </w:p>
        </w:tc>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6,750,686</w:t>
            </w:r>
          </w:p>
        </w:tc>
      </w:tr>
      <w:tr>
        <w:trPr>
          <w:cantSplit/>
        </w:trPr>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طلب التمويل المقترح</w:t>
            </w:r>
          </w:p>
        </w:tc>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7,000,000</w:t>
            </w:r>
          </w:p>
        </w:tc>
      </w:tr>
      <w:tr>
        <w:trPr>
          <w:cantSplit/>
        </w:trPr>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هامش الجسر السنوي</w:t>
            </w:r>
          </w:p>
        </w:tc>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249,314</w:t>
            </w:r>
          </w:p>
        </w:tc>
      </w:tr>
    </w:tbl>
    <w:p>
      <w:pPr>
        <w:spacing w:after="0"/>
      </w:pPr>
    </w:p>
    <w:p>
      <w:pPr>
        <w:bidi/>
        <w:jc w:val="left"/>
      </w:pPr>
      <w:r>
        <w:rPr>
          <w:rFonts w:ascii="DIN Next LT Arabic Light" w:hAnsi="DIN Next LT Arabic Light" w:cs="DIN Next LT Arabic Light" w:eastAsia="DIN Next LT Arabic Light"/>
          <w:color w:val="173A46"/>
          <w:sz w:val="21"/>
          <w:szCs w:val="21"/>
        </w:rPr>
        <w:t>يحل اختبار الحقوق والسيولة محل احتياطي المصدر القديم، فلا يجمع الاحتياطي مرتين. هامش الجسر السنوي ليس رصيد البنك؛ حركة البنك تتبع الدفعات والتكلفة والافتتاح والتحصيل شهريًا.</w:t>
      </w:r>
    </w:p>
    <w:tbl>
      <w:tblPr>
        <w:tblW w:type="auto" w:w="0"/>
        <w:jc w:val="center"/>
        <w:tblLayout w:type="autofit"/>
        <w:tblLook w:firstColumn="1" w:firstRow="1" w:lastColumn="0" w:lastRow="0" w:noHBand="0" w:noVBand="1" w:val="04A0"/>
        <w:bidiVisual/>
      </w:tblPr>
      <w:tblGrid>
        <w:gridCol w:w="5061"/>
        <w:gridCol w:w="5061"/>
      </w:tblGrid>
      <w:tr>
        <w:trPr>
          <w:cantSplit/>
        </w:trPr>
        <w:tc>
          <w:tcPr>
            <w:tcW w:type="dxa" w:w="5061"/>
            <w:shd w:fill="073B4A"/>
          </w:tcPr>
          <w:p>
            <w:pPr>
              <w:bidi/>
              <w:jc w:val="left"/>
            </w:pPr>
            <w:r>
              <w:rPr>
                <w:rFonts w:ascii="DIN Next LT Arabic Medium" w:hAnsi="DIN Next LT Arabic Medium" w:cs="DIN Next LT Arabic Medium" w:eastAsia="DIN Next LT Arabic Medium"/>
                <w:color w:val="FFFFFF"/>
                <w:sz w:val="18"/>
                <w:szCs w:val="18"/>
              </w:rPr>
              <w:t>الفحص الشهري / الحالة الأساسية</w:t>
            </w:r>
          </w:p>
        </w:tc>
        <w:tc>
          <w:tcPr>
            <w:tcW w:type="dxa" w:w="5061"/>
            <w:shd w:fill="073B4A"/>
          </w:tcPr>
          <w:p>
            <w:pPr>
              <w:bidi/>
              <w:jc w:val="left"/>
            </w:pPr>
            <w:r>
              <w:rPr>
                <w:rFonts w:ascii="DIN Next LT Arabic Medium" w:hAnsi="DIN Next LT Arabic Medium" w:cs="DIN Next LT Arabic Medium" w:eastAsia="DIN Next LT Arabic Medium"/>
                <w:color w:val="FFFFFF"/>
                <w:sz w:val="18"/>
                <w:szCs w:val="18"/>
              </w:rPr>
              <w:t>النتيجة</w:t>
            </w:r>
          </w:p>
        </w:tc>
      </w:tr>
      <w:tr>
        <w:trPr>
          <w:cantSplit/>
        </w:trPr>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أدنى رصيد بعد أول دفعة</w:t>
            </w:r>
          </w:p>
        </w:tc>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558,548 ريال</w:t>
            </w:r>
          </w:p>
        </w:tc>
      </w:tr>
      <w:tr>
        <w:trPr>
          <w:cantSplit/>
        </w:trPr>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عجز إرشادي في سبتمبر قبل أول دفعة</w:t>
            </w:r>
          </w:p>
        </w:tc>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715,260 ريال</w:t>
            </w:r>
          </w:p>
        </w:tc>
      </w:tr>
      <w:tr>
        <w:trPr>
          <w:cantSplit/>
        </w:trPr>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عجز التطبيقات الشهري الإرشادي</w:t>
            </w:r>
          </w:p>
        </w:tc>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0 ريال</w:t>
            </w:r>
          </w:p>
        </w:tc>
      </w:tr>
    </w:tbl>
    <w:p>
      <w:pPr>
        <w:spacing w:after="0"/>
      </w:pPr>
    </w:p>
    <w:p>
      <w:pPr>
        <w:bidi/>
        <w:jc w:val="left"/>
        <w:shd w:fill="EAF5F4"/>
      </w:pPr>
      <w:r>
        <w:rPr>
          <w:rFonts w:ascii="DIN Next LT Arabic Light" w:hAnsi="DIN Next LT Arabic Light" w:cs="DIN Next LT Arabic Light" w:eastAsia="DIN Next LT Arabic Light"/>
          <w:color w:val="173A46"/>
          <w:sz w:val="18"/>
          <w:szCs w:val="18"/>
        </w:rPr>
        <w:t>الرصيد الافتتاحي صفر للاختبار، ولم يقدم كشف بنك لاعتماده. تسوى مصروفات والتزامات سبتمبر وما غطاه التمويل السابق قبل أول صرف. الحالات والتأخير والمواقع والدفعات تعيد الحساب، والعجز يبقى ظاهرًا ولا يتحول إلى صفر.</w:t>
      </w:r>
    </w:p>
    <w:p>
      <w:r>
        <w:br w:type="page"/>
      </w:r>
    </w:p>
    <w:p>
      <w:pPr>
        <w:pStyle w:val="Heading1"/>
        <w:bidi/>
        <w:jc w:val="left"/>
      </w:pPr>
      <w:r>
        <w:rPr>
          <w:rFonts w:ascii="DIN Next LT Arabic Medium" w:hAnsi="DIN Next LT Arabic Medium" w:cs="DIN Next LT Arabic Medium" w:eastAsia="DIN Next LT Arabic Medium"/>
          <w:color w:val="173A46"/>
          <w:sz w:val="46"/>
          <w:szCs w:val="46"/>
        </w:rPr>
        <w:t>الدفعات والحوكمة وشروط الصرف</w:t>
      </w:r>
    </w:p>
    <w:tbl>
      <w:tblPr>
        <w:tblW w:type="auto" w:w="0"/>
        <w:jc w:val="center"/>
        <w:tblLayout w:type="autofit"/>
        <w:tblLook w:firstColumn="1" w:firstRow="1" w:lastColumn="0" w:lastRow="0" w:noHBand="0" w:noVBand="1" w:val="04A0"/>
        <w:bidiVisual/>
      </w:tblPr>
      <w:tblGrid>
        <w:gridCol w:w="2531"/>
        <w:gridCol w:w="2531"/>
        <w:gridCol w:w="2531"/>
        <w:gridCol w:w="2531"/>
      </w:tblGrid>
      <w:tr>
        <w:trPr>
          <w:cantSplit/>
        </w:trPr>
        <w:tc>
          <w:tcPr>
            <w:tcW w:type="dxa" w:w="2531"/>
            <w:shd w:fill="073B4A"/>
          </w:tcPr>
          <w:p>
            <w:pPr>
              <w:bidi/>
              <w:jc w:val="left"/>
            </w:pPr>
            <w:r>
              <w:rPr>
                <w:rFonts w:ascii="DIN Next LT Arabic Medium" w:hAnsi="DIN Next LT Arabic Medium" w:cs="DIN Next LT Arabic Medium" w:eastAsia="DIN Next LT Arabic Medium"/>
                <w:color w:val="FFFFFF"/>
                <w:sz w:val="18"/>
                <w:szCs w:val="18"/>
              </w:rPr>
              <w:t>المرحلة</w:t>
            </w:r>
          </w:p>
        </w:tc>
        <w:tc>
          <w:tcPr>
            <w:tcW w:type="dxa" w:w="2531"/>
            <w:shd w:fill="073B4A"/>
          </w:tcPr>
          <w:p>
            <w:pPr>
              <w:bidi/>
              <w:jc w:val="left"/>
            </w:pPr>
            <w:r>
              <w:rPr>
                <w:rFonts w:ascii="DIN Next LT Arabic Medium" w:hAnsi="DIN Next LT Arabic Medium" w:cs="DIN Next LT Arabic Medium" w:eastAsia="DIN Next LT Arabic Medium"/>
                <w:color w:val="FFFFFF"/>
                <w:sz w:val="18"/>
                <w:szCs w:val="18"/>
              </w:rPr>
              <w:t>النسبة</w:t>
            </w:r>
          </w:p>
        </w:tc>
        <w:tc>
          <w:tcPr>
            <w:tcW w:type="dxa" w:w="2531"/>
            <w:shd w:fill="073B4A"/>
          </w:tcPr>
          <w:p>
            <w:pPr>
              <w:bidi/>
              <w:jc w:val="left"/>
            </w:pPr>
            <w:r>
              <w:rPr>
                <w:rFonts w:ascii="DIN Next LT Arabic Medium" w:hAnsi="DIN Next LT Arabic Medium" w:cs="DIN Next LT Arabic Medium" w:eastAsia="DIN Next LT Arabic Medium"/>
                <w:color w:val="FFFFFF"/>
                <w:sz w:val="18"/>
                <w:szCs w:val="18"/>
              </w:rPr>
              <w:t>التطبيقات / مليون</w:t>
            </w:r>
          </w:p>
        </w:tc>
        <w:tc>
          <w:tcPr>
            <w:tcW w:type="dxa" w:w="2531"/>
            <w:shd w:fill="073B4A"/>
          </w:tcPr>
          <w:p>
            <w:pPr>
              <w:bidi/>
              <w:jc w:val="left"/>
            </w:pPr>
            <w:r>
              <w:rPr>
                <w:rFonts w:ascii="DIN Next LT Arabic Medium" w:hAnsi="DIN Next LT Arabic Medium" w:cs="DIN Next LT Arabic Medium" w:eastAsia="DIN Next LT Arabic Medium"/>
                <w:color w:val="FFFFFF"/>
                <w:sz w:val="18"/>
                <w:szCs w:val="18"/>
              </w:rPr>
              <w:t>WOO / مليون</w:t>
            </w:r>
          </w:p>
        </w:tc>
      </w:tr>
      <w:tr>
        <w:trPr>
          <w:cantSplit/>
        </w:trPr>
        <w:tc>
          <w:tcPr>
            <w:tcW w:type="dxa" w:w="2531"/>
          </w:tcPr>
          <w:p>
            <w:pPr>
              <w:bidi/>
              <w:spacing w:after="60" w:before="60"/>
              <w:jc w:val="left"/>
            </w:pPr>
            <w:r>
              <w:rPr>
                <w:rFonts w:ascii="DIN Next LT Arabic Light" w:hAnsi="DIN Next LT Arabic Light" w:cs="DIN Next LT Arabic Light" w:eastAsia="DIN Next LT Arabic Light"/>
                <w:color w:val="173A46"/>
                <w:sz w:val="18"/>
                <w:szCs w:val="18"/>
              </w:rPr>
              <w:t>إقفال وجاهزية</w:t>
            </w:r>
          </w:p>
        </w:tc>
        <w:tc>
          <w:tcPr>
            <w:tcW w:type="dxa" w:w="2531"/>
          </w:tcPr>
          <w:p>
            <w:pPr>
              <w:bidi/>
              <w:spacing w:after="60" w:before="60"/>
              <w:jc w:val="left"/>
            </w:pPr>
            <w:r>
              <w:rPr>
                <w:rFonts w:ascii="DIN Next LT Arabic Light" w:hAnsi="DIN Next LT Arabic Light" w:cs="DIN Next LT Arabic Light" w:eastAsia="DIN Next LT Arabic Light"/>
                <w:color w:val="173A46"/>
                <w:sz w:val="18"/>
                <w:szCs w:val="18"/>
              </w:rPr>
              <w:t>50%</w:t>
            </w:r>
          </w:p>
        </w:tc>
        <w:tc>
          <w:tcPr>
            <w:tcW w:type="dxa" w:w="2531"/>
          </w:tcPr>
          <w:p>
            <w:pPr>
              <w:bidi/>
              <w:spacing w:after="60" w:before="60"/>
              <w:jc w:val="left"/>
            </w:pPr>
            <w:r>
              <w:rPr>
                <w:rFonts w:ascii="DIN Next LT Arabic Light" w:hAnsi="DIN Next LT Arabic Light" w:cs="DIN Next LT Arabic Light" w:eastAsia="DIN Next LT Arabic Light"/>
                <w:color w:val="173A46"/>
                <w:sz w:val="18"/>
                <w:szCs w:val="18"/>
              </w:rPr>
              <w:t>3.835</w:t>
            </w:r>
          </w:p>
        </w:tc>
        <w:tc>
          <w:tcPr>
            <w:tcW w:type="dxa" w:w="2531"/>
          </w:tcPr>
          <w:p>
            <w:pPr>
              <w:bidi/>
              <w:spacing w:after="60" w:before="60"/>
              <w:jc w:val="left"/>
            </w:pPr>
            <w:r>
              <w:rPr>
                <w:rFonts w:ascii="DIN Next LT Arabic Light" w:hAnsi="DIN Next LT Arabic Light" w:cs="DIN Next LT Arabic Light" w:eastAsia="DIN Next LT Arabic Light"/>
                <w:color w:val="173A46"/>
                <w:sz w:val="18"/>
                <w:szCs w:val="18"/>
              </w:rPr>
              <w:t>3.50</w:t>
            </w:r>
          </w:p>
        </w:tc>
      </w:tr>
      <w:tr>
        <w:trPr>
          <w:cantSplit/>
        </w:trPr>
        <w:tc>
          <w:tcPr>
            <w:tcW w:type="dxa" w:w="2531"/>
            <w:shd w:fill="F0F6F6"/>
          </w:tcPr>
          <w:p>
            <w:pPr>
              <w:bidi/>
              <w:spacing w:after="60" w:before="60"/>
              <w:jc w:val="left"/>
            </w:pPr>
            <w:r>
              <w:rPr>
                <w:rFonts w:ascii="DIN Next LT Arabic Light" w:hAnsi="DIN Next LT Arabic Light" w:cs="DIN Next LT Arabic Light" w:eastAsia="DIN Next LT Arabic Light"/>
                <w:color w:val="173A46"/>
                <w:sz w:val="18"/>
                <w:szCs w:val="18"/>
              </w:rPr>
              <w:t>إطلاق وتجهيز مثبت</w:t>
            </w:r>
          </w:p>
        </w:tc>
        <w:tc>
          <w:tcPr>
            <w:tcW w:type="dxa" w:w="2531"/>
            <w:shd w:fill="F0F6F6"/>
          </w:tcPr>
          <w:p>
            <w:pPr>
              <w:bidi/>
              <w:spacing w:after="60" w:before="60"/>
              <w:jc w:val="left"/>
            </w:pPr>
            <w:r>
              <w:rPr>
                <w:rFonts w:ascii="DIN Next LT Arabic Light" w:hAnsi="DIN Next LT Arabic Light" w:cs="DIN Next LT Arabic Light" w:eastAsia="DIN Next LT Arabic Light"/>
                <w:color w:val="173A46"/>
                <w:sz w:val="18"/>
                <w:szCs w:val="18"/>
              </w:rPr>
              <w:t>30%</w:t>
            </w:r>
          </w:p>
        </w:tc>
        <w:tc>
          <w:tcPr>
            <w:tcW w:type="dxa" w:w="2531"/>
            <w:shd w:fill="F0F6F6"/>
          </w:tcPr>
          <w:p>
            <w:pPr>
              <w:bidi/>
              <w:spacing w:after="60" w:before="60"/>
              <w:jc w:val="left"/>
            </w:pPr>
            <w:r>
              <w:rPr>
                <w:rFonts w:ascii="DIN Next LT Arabic Light" w:hAnsi="DIN Next LT Arabic Light" w:cs="DIN Next LT Arabic Light" w:eastAsia="DIN Next LT Arabic Light"/>
                <w:color w:val="173A46"/>
                <w:sz w:val="18"/>
                <w:szCs w:val="18"/>
              </w:rPr>
              <w:t>2.301</w:t>
            </w:r>
          </w:p>
        </w:tc>
        <w:tc>
          <w:tcPr>
            <w:tcW w:type="dxa" w:w="2531"/>
            <w:shd w:fill="F0F6F6"/>
          </w:tcPr>
          <w:p>
            <w:pPr>
              <w:bidi/>
              <w:spacing w:after="60" w:before="60"/>
              <w:jc w:val="left"/>
            </w:pPr>
            <w:r>
              <w:rPr>
                <w:rFonts w:ascii="DIN Next LT Arabic Light" w:hAnsi="DIN Next LT Arabic Light" w:cs="DIN Next LT Arabic Light" w:eastAsia="DIN Next LT Arabic Light"/>
                <w:color w:val="173A46"/>
                <w:sz w:val="18"/>
                <w:szCs w:val="18"/>
              </w:rPr>
              <w:t>2.10</w:t>
            </w:r>
          </w:p>
        </w:tc>
      </w:tr>
      <w:tr>
        <w:trPr>
          <w:cantSplit/>
        </w:trPr>
        <w:tc>
          <w:tcPr>
            <w:tcW w:type="dxa" w:w="2531"/>
          </w:tcPr>
          <w:p>
            <w:pPr>
              <w:bidi/>
              <w:spacing w:after="60" w:before="60"/>
              <w:jc w:val="left"/>
            </w:pPr>
            <w:r>
              <w:rPr>
                <w:rFonts w:ascii="DIN Next LT Arabic Light" w:hAnsi="DIN Next LT Arabic Light" w:cs="DIN Next LT Arabic Light" w:eastAsia="DIN Next LT Arabic Light"/>
                <w:color w:val="173A46"/>
                <w:sz w:val="18"/>
                <w:szCs w:val="18"/>
              </w:rPr>
              <w:t>تحقق أداء وتحصيل</w:t>
            </w:r>
          </w:p>
        </w:tc>
        <w:tc>
          <w:tcPr>
            <w:tcW w:type="dxa" w:w="2531"/>
          </w:tcPr>
          <w:p>
            <w:pPr>
              <w:bidi/>
              <w:spacing w:after="60" w:before="60"/>
              <w:jc w:val="left"/>
            </w:pPr>
            <w:r>
              <w:rPr>
                <w:rFonts w:ascii="DIN Next LT Arabic Light" w:hAnsi="DIN Next LT Arabic Light" w:cs="DIN Next LT Arabic Light" w:eastAsia="DIN Next LT Arabic Light"/>
                <w:color w:val="173A46"/>
                <w:sz w:val="18"/>
                <w:szCs w:val="18"/>
              </w:rPr>
              <w:t>20%</w:t>
            </w:r>
          </w:p>
        </w:tc>
        <w:tc>
          <w:tcPr>
            <w:tcW w:type="dxa" w:w="2531"/>
          </w:tcPr>
          <w:p>
            <w:pPr>
              <w:bidi/>
              <w:spacing w:after="60" w:before="60"/>
              <w:jc w:val="left"/>
            </w:pPr>
            <w:r>
              <w:rPr>
                <w:rFonts w:ascii="DIN Next LT Arabic Light" w:hAnsi="DIN Next LT Arabic Light" w:cs="DIN Next LT Arabic Light" w:eastAsia="DIN Next LT Arabic Light"/>
                <w:color w:val="173A46"/>
                <w:sz w:val="18"/>
                <w:szCs w:val="18"/>
              </w:rPr>
              <w:t>1.534</w:t>
            </w:r>
          </w:p>
        </w:tc>
        <w:tc>
          <w:tcPr>
            <w:tcW w:type="dxa" w:w="2531"/>
          </w:tcPr>
          <w:p>
            <w:pPr>
              <w:bidi/>
              <w:spacing w:after="60" w:before="60"/>
              <w:jc w:val="left"/>
            </w:pPr>
            <w:r>
              <w:rPr>
                <w:rFonts w:ascii="DIN Next LT Arabic Light" w:hAnsi="DIN Next LT Arabic Light" w:cs="DIN Next LT Arabic Light" w:eastAsia="DIN Next LT Arabic Light"/>
                <w:color w:val="173A46"/>
                <w:sz w:val="18"/>
                <w:szCs w:val="18"/>
              </w:rPr>
              <w:t>1.40</w:t>
            </w:r>
          </w:p>
        </w:tc>
      </w:tr>
    </w:tbl>
    <w:p>
      <w:pPr>
        <w:spacing w:after="0"/>
      </w:pPr>
    </w:p>
    <w:p>
      <w:pPr>
        <w:bidi/>
        <w:jc w:val="left"/>
      </w:pPr>
      <w:r>
        <w:rPr>
          <w:rFonts w:ascii="DIN Next LT Arabic Light" w:hAnsi="DIN Next LT Arabic Light" w:cs="DIN Next LT Arabic Light" w:eastAsia="DIN Next LT Arabic Light"/>
          <w:color w:val="173A46"/>
          <w:sz w:val="21"/>
          <w:szCs w:val="21"/>
        </w:rPr>
        <w:t>مواعيد النموذج القابلة للتعديل: 6 أكتوبر 2026، 6 يناير 2027، 6 أبريل 2027. ليست مواعيد متفقًا عليها ولا بديلًا عن تحقق شروط الدفعة. الشركة المنفردة تستخدم النسب على تمويلها؛ الحزمة توزع بحسب موازنة كل شركة.</w:t>
      </w:r>
    </w:p>
    <w:tbl>
      <w:tblPr>
        <w:tblW w:type="auto" w:w="0"/>
        <w:jc w:val="center"/>
        <w:tblLayout w:type="autofit"/>
        <w:tblLook w:firstColumn="1" w:firstRow="1" w:lastColumn="0" w:lastRow="0" w:noHBand="0" w:noVBand="1" w:val="04A0"/>
        <w:bidiVisual/>
      </w:tblPr>
      <w:tblGrid>
        <w:gridCol w:w="5061"/>
        <w:gridCol w:w="5061"/>
      </w:tblGrid>
      <w:tr>
        <w:trPr>
          <w:cantSplit/>
        </w:trPr>
        <w:tc>
          <w:tcPr>
            <w:tcW w:type="dxa" w:w="5061"/>
            <w:shd w:fill="073B4A"/>
          </w:tcPr>
          <w:p>
            <w:pPr>
              <w:bidi/>
              <w:jc w:val="left"/>
            </w:pPr>
            <w:r>
              <w:rPr>
                <w:rFonts w:ascii="DIN Next LT Arabic Medium" w:hAnsi="DIN Next LT Arabic Medium" w:cs="DIN Next LT Arabic Medium" w:eastAsia="DIN Next LT Arabic Medium"/>
                <w:color w:val="FFFFFF"/>
                <w:sz w:val="18"/>
                <w:szCs w:val="18"/>
              </w:rPr>
              <w:t>قبل الإقفال أو الصرف</w:t>
            </w:r>
          </w:p>
        </w:tc>
        <w:tc>
          <w:tcPr>
            <w:tcW w:type="dxa" w:w="5061"/>
            <w:shd w:fill="073B4A"/>
          </w:tcPr>
          <w:p>
            <w:pPr>
              <w:bidi/>
              <w:jc w:val="left"/>
            </w:pPr>
            <w:r>
              <w:rPr>
                <w:rFonts w:ascii="DIN Next LT Arabic Medium" w:hAnsi="DIN Next LT Arabic Medium" w:cs="DIN Next LT Arabic Medium" w:eastAsia="DIN Next LT Arabic Medium"/>
                <w:color w:val="FFFFFF"/>
                <w:sz w:val="18"/>
                <w:szCs w:val="18"/>
              </w:rPr>
              <w:t>دليل الاعتماد</w:t>
            </w:r>
          </w:p>
        </w:tc>
      </w:tr>
      <w:tr>
        <w:trPr>
          <w:cantSplit/>
        </w:trPr>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الشركة</w:t>
            </w:r>
          </w:p>
        </w:tc>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موافقات زيادة رأس المال وجدول مساهمين وحقوق قائم</w:t>
            </w:r>
          </w:p>
        </w:tc>
      </w:tr>
      <w:tr>
        <w:trPr>
          <w:cantSplit/>
        </w:trPr>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الموقع</w:t>
            </w:r>
          </w:p>
        </w:tc>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عقد وتكلفة تجهيز وفواتير وتراخيص مناسبة للخدمة</w:t>
            </w:r>
          </w:p>
        </w:tc>
      </w:tr>
      <w:tr>
        <w:trPr>
          <w:cantSplit/>
        </w:trPr>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التطبيق</w:t>
            </w:r>
          </w:p>
        </w:tc>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ملكية الكود واختبار تقني وتجاري ومسؤولية تشغيل</w:t>
            </w:r>
          </w:p>
        </w:tc>
      </w:tr>
      <w:tr>
        <w:trPr>
          <w:cantSplit/>
        </w:trPr>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السيولة</w:t>
            </w:r>
          </w:p>
        </w:tc>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خطة شهرية ورصيد افتتاحي وتسوية نيوهورايزون</w:t>
            </w:r>
          </w:p>
        </w:tc>
      </w:tr>
      <w:tr>
        <w:trPr>
          <w:cantSplit/>
        </w:trPr>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الأداء</w:t>
            </w:r>
          </w:p>
        </w:tc>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تحصيل وهامش وطلب مدفوع وقرار توسع</w:t>
            </w:r>
          </w:p>
        </w:tc>
      </w:tr>
    </w:tbl>
    <w:p>
      <w:pPr>
        <w:spacing w:after="0"/>
      </w:pPr>
    </w:p>
    <w:p>
      <w:pPr>
        <w:pStyle w:val="Heading2"/>
        <w:bidi/>
        <w:jc w:val="left"/>
      </w:pPr>
      <w:r>
        <w:rPr>
          <w:rFonts w:ascii="DIN Next LT Arabic Medium" w:hAnsi="DIN Next LT Arabic Medium" w:cs="DIN Next LT Arabic Medium" w:eastAsia="DIN Next LT Arabic Medium"/>
          <w:color w:val="008B99"/>
          <w:sz w:val="26"/>
          <w:szCs w:val="26"/>
        </w:rPr>
        <w:t>حوكمة التنفيذ</w:t>
      </w:r>
    </w:p>
    <w:p>
      <w:pPr>
        <w:bidi/>
        <w:jc w:val="left"/>
      </w:pPr>
      <w:r>
        <w:rPr>
          <w:rFonts w:ascii="DIN Next LT Arabic Light" w:hAnsi="DIN Next LT Arabic Light" w:cs="DIN Next LT Arabic Light" w:eastAsia="DIN Next LT Arabic Light"/>
          <w:color w:val="173A46"/>
          <w:sz w:val="21"/>
          <w:szCs w:val="21"/>
        </w:rPr>
        <w:t>تقارير شهرية للشركة ولكل موقع: مبيعات وتحصيل وهوامش وسيولة وإشغال وجودة وسلامة. تحدد القرارات المحجوزة للتوسع والدين ومعاملات الأطراف المرتبطة، وتفصل أتعاب القابضة والتكاليف المشتركة.</w:t>
      </w:r>
    </w:p>
    <w:p>
      <w:r>
        <w:br w:type="page"/>
      </w:r>
    </w:p>
    <w:p>
      <w:pPr>
        <w:pStyle w:val="Heading1"/>
        <w:bidi/>
        <w:jc w:val="left"/>
      </w:pPr>
      <w:r>
        <w:rPr>
          <w:rFonts w:ascii="DIN Next LT Arabic Medium" w:hAnsi="DIN Next LT Arabic Medium" w:cs="DIN Next LT Arabic Medium" w:eastAsia="DIN Next LT Arabic Medium"/>
          <w:color w:val="173A46"/>
          <w:sz w:val="46"/>
          <w:szCs w:val="46"/>
        </w:rPr>
        <w:t>مستندات الفحص 1</w:t>
      </w:r>
    </w:p>
    <w:p>
      <w:pPr>
        <w:bidi/>
        <w:jc w:val="left"/>
      </w:pPr>
      <w:r>
        <w:rPr>
          <w:rFonts w:ascii="DIN Next LT Arabic Light" w:hAnsi="DIN Next LT Arabic Light" w:cs="DIN Next LT Arabic Light" w:eastAsia="DIN Next LT Arabic Light"/>
          <w:color w:val="173A46"/>
          <w:sz w:val="21"/>
          <w:szCs w:val="21"/>
        </w:rPr>
        <w:t>تسلم الوثيقة برقم ومالك وفترة ونسخة، وترتبط بسجل ملاحظات وقرار إغلاق. الأولوية للملكية والتحصيل والعقود والحقوق والتكلفة.</w:t>
      </w:r>
    </w:p>
    <w:tbl>
      <w:tblPr>
        <w:tblW w:type="auto" w:w="0"/>
        <w:jc w:val="center"/>
        <w:tblLayout w:type="fixed"/>
        <w:tblLook w:firstColumn="1" w:firstRow="1" w:lastColumn="0" w:lastRow="0" w:noHBand="0" w:noVBand="1" w:val="04A0"/>
        <w:bidiVisual/>
      </w:tblPr>
      <w:tblGrid>
        <w:gridCol w:w="720"/>
        <w:gridCol w:w="1872"/>
        <w:gridCol w:w="4968"/>
        <w:gridCol w:w="2304"/>
      </w:tblGrid>
      <w:tr>
        <w:trPr>
          <w:cantSplit/>
        </w:trPr>
        <w:tc>
          <w:tcPr>
            <w:tcW w:type="dxa" w:w="720"/>
            <w:shd w:fill="073B4A"/>
          </w:tcPr>
          <w:p>
            <w:pPr>
              <w:bidi/>
              <w:jc w:val="left"/>
            </w:pPr>
            <w:r>
              <w:rPr>
                <w:rFonts w:ascii="DIN Next LT Arabic Medium" w:hAnsi="DIN Next LT Arabic Medium" w:cs="DIN Next LT Arabic Medium" w:eastAsia="DIN Next LT Arabic Medium"/>
                <w:color w:val="FFFFFF"/>
                <w:sz w:val="18"/>
                <w:szCs w:val="18"/>
              </w:rPr>
              <w:t>رقم</w:t>
            </w:r>
          </w:p>
        </w:tc>
        <w:tc>
          <w:tcPr>
            <w:tcW w:type="dxa" w:w="1872"/>
            <w:shd w:fill="073B4A"/>
          </w:tcPr>
          <w:p>
            <w:pPr>
              <w:bidi/>
              <w:jc w:val="left"/>
            </w:pPr>
            <w:r>
              <w:rPr>
                <w:rFonts w:ascii="DIN Next LT Arabic Medium" w:hAnsi="DIN Next LT Arabic Medium" w:cs="DIN Next LT Arabic Medium" w:eastAsia="DIN Next LT Arabic Medium"/>
                <w:color w:val="FFFFFF"/>
                <w:sz w:val="18"/>
                <w:szCs w:val="18"/>
              </w:rPr>
              <w:t>المجموعة</w:t>
            </w:r>
          </w:p>
        </w:tc>
        <w:tc>
          <w:tcPr>
            <w:tcW w:type="dxa" w:w="4968"/>
            <w:shd w:fill="073B4A"/>
          </w:tcPr>
          <w:p>
            <w:pPr>
              <w:bidi/>
              <w:jc w:val="left"/>
            </w:pPr>
            <w:r>
              <w:rPr>
                <w:rFonts w:ascii="DIN Next LT Arabic Medium" w:hAnsi="DIN Next LT Arabic Medium" w:cs="DIN Next LT Arabic Medium" w:eastAsia="DIN Next LT Arabic Medium"/>
                <w:color w:val="FFFFFF"/>
                <w:sz w:val="18"/>
                <w:szCs w:val="18"/>
              </w:rPr>
              <w:t>المستند المطلوب</w:t>
            </w:r>
          </w:p>
        </w:tc>
        <w:tc>
          <w:tcPr>
            <w:tcW w:type="dxa" w:w="2304"/>
            <w:shd w:fill="073B4A"/>
          </w:tcPr>
          <w:p>
            <w:pPr>
              <w:bidi/>
              <w:jc w:val="left"/>
            </w:pPr>
            <w:r>
              <w:rPr>
                <w:rFonts w:ascii="DIN Next LT Arabic Medium" w:hAnsi="DIN Next LT Arabic Medium" w:cs="DIN Next LT Arabic Medium" w:eastAsia="DIN Next LT Arabic Medium"/>
                <w:color w:val="FFFFFF"/>
                <w:sz w:val="18"/>
                <w:szCs w:val="18"/>
              </w:rPr>
              <w:t>المسؤول</w:t>
            </w:r>
          </w:p>
        </w:tc>
      </w:tr>
      <w:tr>
        <w:trPr>
          <w:cantSplit/>
        </w:trPr>
        <w:tc>
          <w:tcPr>
            <w:tcW w:type="dxa" w:w="720"/>
          </w:tcPr>
          <w:p>
            <w:pPr>
              <w:bidi/>
              <w:spacing w:after="60" w:before="60"/>
              <w:jc w:val="left"/>
            </w:pPr>
            <w:r>
              <w:rPr>
                <w:rFonts w:ascii="DIN Next LT Arabic Light" w:hAnsi="DIN Next LT Arabic Light" w:cs="DIN Next LT Arabic Light" w:eastAsia="DIN Next LT Arabic Light"/>
                <w:color w:val="173A46"/>
                <w:sz w:val="18"/>
                <w:szCs w:val="18"/>
              </w:rPr>
              <w:t>01</w:t>
            </w:r>
          </w:p>
        </w:tc>
        <w:tc>
          <w:tcPr>
            <w:tcW w:type="dxa" w:w="1872"/>
          </w:tcPr>
          <w:p>
            <w:pPr>
              <w:bidi/>
              <w:spacing w:after="60" w:before="60"/>
              <w:jc w:val="left"/>
            </w:pPr>
            <w:r>
              <w:rPr>
                <w:rFonts w:ascii="DIN Next LT Arabic Light" w:hAnsi="DIN Next LT Arabic Light" w:cs="DIN Next LT Arabic Light" w:eastAsia="DIN Next LT Arabic Light"/>
                <w:color w:val="173A46"/>
                <w:sz w:val="18"/>
                <w:szCs w:val="18"/>
              </w:rPr>
              <w:t>الشركات والملكية</w:t>
            </w:r>
          </w:p>
        </w:tc>
        <w:tc>
          <w:tcPr>
            <w:tcW w:type="dxa" w:w="4968"/>
          </w:tcPr>
          <w:p>
            <w:pPr>
              <w:bidi/>
              <w:spacing w:after="60" w:before="60"/>
              <w:jc w:val="left"/>
            </w:pPr>
            <w:r>
              <w:rPr>
                <w:rFonts w:ascii="DIN Next LT Arabic Light" w:hAnsi="DIN Next LT Arabic Light" w:cs="DIN Next LT Arabic Light" w:eastAsia="DIN Next LT Arabic Light"/>
                <w:color w:val="173A46"/>
                <w:sz w:val="18"/>
                <w:szCs w:val="18"/>
              </w:rPr>
              <w:t>سجلات وعقود تأسيس وجدول مساهمين</w:t>
            </w:r>
          </w:p>
        </w:tc>
        <w:tc>
          <w:tcPr>
            <w:tcW w:type="dxa" w:w="2304"/>
          </w:tcPr>
          <w:p>
            <w:pPr>
              <w:bidi/>
              <w:spacing w:after="60" w:before="60"/>
              <w:jc w:val="left"/>
            </w:pPr>
            <w:r>
              <w:rPr>
                <w:rFonts w:ascii="DIN Next LT Arabic Light" w:hAnsi="DIN Next LT Arabic Light" w:cs="DIN Next LT Arabic Light" w:eastAsia="DIN Next LT Arabic Light"/>
                <w:color w:val="173A46"/>
                <w:sz w:val="18"/>
                <w:szCs w:val="18"/>
              </w:rPr>
              <w:t>القانوني</w:t>
            </w:r>
          </w:p>
        </w:tc>
      </w:tr>
      <w:tr>
        <w:trPr>
          <w:cantSplit/>
        </w:trPr>
        <w:tc>
          <w:tcPr>
            <w:tcW w:type="dxa" w:w="720"/>
            <w:shd w:fill="F0F6F6"/>
          </w:tcPr>
          <w:p>
            <w:pPr>
              <w:bidi/>
              <w:spacing w:after="60" w:before="60"/>
              <w:jc w:val="left"/>
            </w:pPr>
            <w:r>
              <w:rPr>
                <w:rFonts w:ascii="DIN Next LT Arabic Light" w:hAnsi="DIN Next LT Arabic Light" w:cs="DIN Next LT Arabic Light" w:eastAsia="DIN Next LT Arabic Light"/>
                <w:color w:val="173A46"/>
                <w:sz w:val="18"/>
                <w:szCs w:val="18"/>
              </w:rPr>
              <w:t>02</w:t>
            </w:r>
          </w:p>
        </w:tc>
        <w:tc>
          <w:tcPr>
            <w:tcW w:type="dxa" w:w="1872"/>
            <w:shd w:fill="F0F6F6"/>
          </w:tcPr>
          <w:p>
            <w:pPr>
              <w:bidi/>
              <w:spacing w:after="60" w:before="60"/>
              <w:jc w:val="left"/>
            </w:pPr>
            <w:r>
              <w:rPr>
                <w:rFonts w:ascii="DIN Next LT Arabic Light" w:hAnsi="DIN Next LT Arabic Light" w:cs="DIN Next LT Arabic Light" w:eastAsia="DIN Next LT Arabic Light"/>
                <w:color w:val="173A46"/>
                <w:sz w:val="18"/>
                <w:szCs w:val="18"/>
              </w:rPr>
              <w:t>موافقات الدخول</w:t>
            </w:r>
          </w:p>
        </w:tc>
        <w:tc>
          <w:tcPr>
            <w:tcW w:type="dxa" w:w="4968"/>
            <w:shd w:fill="F0F6F6"/>
          </w:tcPr>
          <w:p>
            <w:pPr>
              <w:bidi/>
              <w:spacing w:after="60" w:before="60"/>
              <w:jc w:val="left"/>
            </w:pPr>
            <w:r>
              <w:rPr>
                <w:rFonts w:ascii="DIN Next LT Arabic Light" w:hAnsi="DIN Next LT Arabic Light" w:cs="DIN Next LT Arabic Light" w:eastAsia="DIN Next LT Arabic Light"/>
                <w:color w:val="173A46"/>
                <w:sz w:val="18"/>
                <w:szCs w:val="18"/>
              </w:rPr>
              <w:t>زيادة رأس مال وموافقات الشركاء</w:t>
            </w:r>
          </w:p>
        </w:tc>
        <w:tc>
          <w:tcPr>
            <w:tcW w:type="dxa" w:w="2304"/>
            <w:shd w:fill="F0F6F6"/>
          </w:tcPr>
          <w:p>
            <w:pPr>
              <w:bidi/>
              <w:spacing w:after="60" w:before="60"/>
              <w:jc w:val="left"/>
            </w:pPr>
            <w:r>
              <w:rPr>
                <w:rFonts w:ascii="DIN Next LT Arabic Light" w:hAnsi="DIN Next LT Arabic Light" w:cs="DIN Next LT Arabic Light" w:eastAsia="DIN Next LT Arabic Light"/>
                <w:color w:val="173A46"/>
                <w:sz w:val="18"/>
                <w:szCs w:val="18"/>
              </w:rPr>
              <w:t>القانوني</w:t>
            </w:r>
          </w:p>
        </w:tc>
      </w:tr>
      <w:tr>
        <w:trPr>
          <w:cantSplit/>
        </w:trPr>
        <w:tc>
          <w:tcPr>
            <w:tcW w:type="dxa" w:w="720"/>
          </w:tcPr>
          <w:p>
            <w:pPr>
              <w:bidi/>
              <w:spacing w:after="60" w:before="60"/>
              <w:jc w:val="left"/>
            </w:pPr>
            <w:r>
              <w:rPr>
                <w:rFonts w:ascii="DIN Next LT Arabic Light" w:hAnsi="DIN Next LT Arabic Light" w:cs="DIN Next LT Arabic Light" w:eastAsia="DIN Next LT Arabic Light"/>
                <w:color w:val="173A46"/>
                <w:sz w:val="18"/>
                <w:szCs w:val="18"/>
              </w:rPr>
              <w:t>03</w:t>
            </w:r>
          </w:p>
        </w:tc>
        <w:tc>
          <w:tcPr>
            <w:tcW w:type="dxa" w:w="1872"/>
          </w:tcPr>
          <w:p>
            <w:pPr>
              <w:bidi/>
              <w:spacing w:after="60" w:before="60"/>
              <w:jc w:val="left"/>
            </w:pPr>
            <w:r>
              <w:rPr>
                <w:rFonts w:ascii="DIN Next LT Arabic Light" w:hAnsi="DIN Next LT Arabic Light" w:cs="DIN Next LT Arabic Light" w:eastAsia="DIN Next LT Arabic Light"/>
                <w:color w:val="173A46"/>
                <w:sz w:val="18"/>
                <w:szCs w:val="18"/>
              </w:rPr>
              <w:t>نيوهورايزون</w:t>
            </w:r>
          </w:p>
        </w:tc>
        <w:tc>
          <w:tcPr>
            <w:tcW w:type="dxa" w:w="4968"/>
          </w:tcPr>
          <w:p>
            <w:pPr>
              <w:bidi/>
              <w:spacing w:after="60" w:before="60"/>
              <w:jc w:val="left"/>
            </w:pPr>
            <w:r>
              <w:rPr>
                <w:rFonts w:ascii="DIN Next LT Arabic Light" w:hAnsi="DIN Next LT Arabic Light" w:cs="DIN Next LT Arabic Light" w:eastAsia="DIN Next LT Arabic Light"/>
                <w:color w:val="173A46"/>
                <w:sz w:val="18"/>
                <w:szCs w:val="18"/>
              </w:rPr>
              <w:t>اتفاق وتحويل وأصل وحصة المشروعين</w:t>
            </w:r>
          </w:p>
        </w:tc>
        <w:tc>
          <w:tcPr>
            <w:tcW w:type="dxa" w:w="2304"/>
          </w:tcPr>
          <w:p>
            <w:pPr>
              <w:bidi/>
              <w:spacing w:after="60" w:before="60"/>
              <w:jc w:val="left"/>
            </w:pPr>
            <w:r>
              <w:rPr>
                <w:rFonts w:ascii="DIN Next LT Arabic Light" w:hAnsi="DIN Next LT Arabic Light" w:cs="DIN Next LT Arabic Light" w:eastAsia="DIN Next LT Arabic Light"/>
                <w:color w:val="173A46"/>
                <w:sz w:val="18"/>
                <w:szCs w:val="18"/>
              </w:rPr>
              <w:t>المالية والقانوني</w:t>
            </w:r>
          </w:p>
        </w:tc>
      </w:tr>
      <w:tr>
        <w:trPr>
          <w:cantSplit/>
        </w:trPr>
        <w:tc>
          <w:tcPr>
            <w:tcW w:type="dxa" w:w="720"/>
            <w:shd w:fill="F0F6F6"/>
          </w:tcPr>
          <w:p>
            <w:pPr>
              <w:bidi/>
              <w:spacing w:after="60" w:before="60"/>
              <w:jc w:val="left"/>
            </w:pPr>
            <w:r>
              <w:rPr>
                <w:rFonts w:ascii="DIN Next LT Arabic Light" w:hAnsi="DIN Next LT Arabic Light" w:cs="DIN Next LT Arabic Light" w:eastAsia="DIN Next LT Arabic Light"/>
                <w:color w:val="173A46"/>
                <w:sz w:val="18"/>
                <w:szCs w:val="18"/>
              </w:rPr>
              <w:t>04</w:t>
            </w:r>
          </w:p>
        </w:tc>
        <w:tc>
          <w:tcPr>
            <w:tcW w:type="dxa" w:w="1872"/>
            <w:shd w:fill="F0F6F6"/>
          </w:tcPr>
          <w:p>
            <w:pPr>
              <w:bidi/>
              <w:spacing w:after="60" w:before="60"/>
              <w:jc w:val="left"/>
            </w:pPr>
            <w:r>
              <w:rPr>
                <w:rFonts w:ascii="DIN Next LT Arabic Light" w:hAnsi="DIN Next LT Arabic Light" w:cs="DIN Next LT Arabic Light" w:eastAsia="DIN Next LT Arabic Light"/>
                <w:color w:val="173A46"/>
                <w:sz w:val="18"/>
                <w:szCs w:val="18"/>
              </w:rPr>
              <w:t>Little Inventor</w:t>
            </w:r>
          </w:p>
        </w:tc>
        <w:tc>
          <w:tcPr>
            <w:tcW w:type="dxa" w:w="4968"/>
            <w:shd w:fill="F0F6F6"/>
          </w:tcPr>
          <w:p>
            <w:pPr>
              <w:bidi/>
              <w:spacing w:after="60" w:before="60"/>
              <w:jc w:val="left"/>
            </w:pPr>
            <w:r>
              <w:rPr>
                <w:rFonts w:ascii="DIN Next LT Arabic Light" w:hAnsi="DIN Next LT Arabic Light" w:cs="DIN Next LT Arabic Light" w:eastAsia="DIN Next LT Arabic Light"/>
                <w:color w:val="173A46"/>
                <w:sz w:val="18"/>
                <w:szCs w:val="18"/>
              </w:rPr>
              <w:t>تشغيل وJV وترخيص وحقوق استعمال</w:t>
            </w:r>
          </w:p>
        </w:tc>
        <w:tc>
          <w:tcPr>
            <w:tcW w:type="dxa" w:w="2304"/>
            <w:shd w:fill="F0F6F6"/>
          </w:tcPr>
          <w:p>
            <w:pPr>
              <w:bidi/>
              <w:spacing w:after="60" w:before="60"/>
              <w:jc w:val="left"/>
            </w:pPr>
            <w:r>
              <w:rPr>
                <w:rFonts w:ascii="DIN Next LT Arabic Light" w:hAnsi="DIN Next LT Arabic Light" w:cs="DIN Next LT Arabic Light" w:eastAsia="DIN Next LT Arabic Light"/>
                <w:color w:val="173A46"/>
                <w:sz w:val="18"/>
                <w:szCs w:val="18"/>
              </w:rPr>
              <w:t>القانوني والتشغيل</w:t>
            </w:r>
          </w:p>
        </w:tc>
      </w:tr>
      <w:tr>
        <w:trPr>
          <w:cantSplit/>
        </w:trPr>
        <w:tc>
          <w:tcPr>
            <w:tcW w:type="dxa" w:w="720"/>
          </w:tcPr>
          <w:p>
            <w:pPr>
              <w:bidi/>
              <w:spacing w:after="60" w:before="60"/>
              <w:jc w:val="left"/>
            </w:pPr>
            <w:r>
              <w:rPr>
                <w:rFonts w:ascii="DIN Next LT Arabic Light" w:hAnsi="DIN Next LT Arabic Light" w:cs="DIN Next LT Arabic Light" w:eastAsia="DIN Next LT Arabic Light"/>
                <w:color w:val="173A46"/>
                <w:sz w:val="18"/>
                <w:szCs w:val="18"/>
              </w:rPr>
              <w:t>05</w:t>
            </w:r>
          </w:p>
        </w:tc>
        <w:tc>
          <w:tcPr>
            <w:tcW w:type="dxa" w:w="1872"/>
          </w:tcPr>
          <w:p>
            <w:pPr>
              <w:bidi/>
              <w:spacing w:after="60" w:before="60"/>
              <w:jc w:val="left"/>
            </w:pPr>
            <w:r>
              <w:rPr>
                <w:rFonts w:ascii="DIN Next LT Arabic Light" w:hAnsi="DIN Next LT Arabic Light" w:cs="DIN Next LT Arabic Light" w:eastAsia="DIN Next LT Arabic Light"/>
                <w:color w:val="173A46"/>
                <w:sz w:val="18"/>
                <w:szCs w:val="18"/>
              </w:rPr>
              <w:t>عقود المواقع</w:t>
            </w:r>
          </w:p>
        </w:tc>
        <w:tc>
          <w:tcPr>
            <w:tcW w:type="dxa" w:w="4968"/>
          </w:tcPr>
          <w:p>
            <w:pPr>
              <w:bidi/>
              <w:spacing w:after="60" w:before="60"/>
              <w:jc w:val="left"/>
            </w:pPr>
            <w:r>
              <w:rPr>
                <w:rFonts w:ascii="DIN Next LT Arabic Light" w:hAnsi="DIN Next LT Arabic Light" w:cs="DIN Next LT Arabic Light" w:eastAsia="DIN Next LT Arabic Light"/>
                <w:color w:val="173A46"/>
                <w:sz w:val="18"/>
                <w:szCs w:val="18"/>
              </w:rPr>
              <w:t>مدة وإيجار أو حصة وحد أدنى ومسؤولية تجهيز</w:t>
            </w:r>
          </w:p>
        </w:tc>
        <w:tc>
          <w:tcPr>
            <w:tcW w:type="dxa" w:w="2304"/>
          </w:tcPr>
          <w:p>
            <w:pPr>
              <w:bidi/>
              <w:spacing w:after="60" w:before="60"/>
              <w:jc w:val="left"/>
            </w:pPr>
            <w:r>
              <w:rPr>
                <w:rFonts w:ascii="DIN Next LT Arabic Light" w:hAnsi="DIN Next LT Arabic Light" w:cs="DIN Next LT Arabic Light" w:eastAsia="DIN Next LT Arabic Light"/>
                <w:color w:val="173A46"/>
                <w:sz w:val="18"/>
                <w:szCs w:val="18"/>
              </w:rPr>
              <w:t>التطوير والقانوني</w:t>
            </w:r>
          </w:p>
        </w:tc>
      </w:tr>
      <w:tr>
        <w:trPr>
          <w:cantSplit/>
        </w:trPr>
        <w:tc>
          <w:tcPr>
            <w:tcW w:type="dxa" w:w="720"/>
            <w:shd w:fill="F0F6F6"/>
          </w:tcPr>
          <w:p>
            <w:pPr>
              <w:bidi/>
              <w:spacing w:after="60" w:before="60"/>
              <w:jc w:val="left"/>
            </w:pPr>
            <w:r>
              <w:rPr>
                <w:rFonts w:ascii="DIN Next LT Arabic Light" w:hAnsi="DIN Next LT Arabic Light" w:cs="DIN Next LT Arabic Light" w:eastAsia="DIN Next LT Arabic Light"/>
                <w:color w:val="173A46"/>
                <w:sz w:val="18"/>
                <w:szCs w:val="18"/>
              </w:rPr>
              <w:t>06</w:t>
            </w:r>
          </w:p>
        </w:tc>
        <w:tc>
          <w:tcPr>
            <w:tcW w:type="dxa" w:w="1872"/>
            <w:shd w:fill="F0F6F6"/>
          </w:tcPr>
          <w:p>
            <w:pPr>
              <w:bidi/>
              <w:spacing w:after="60" w:before="60"/>
              <w:jc w:val="left"/>
            </w:pPr>
            <w:r>
              <w:rPr>
                <w:rFonts w:ascii="DIN Next LT Arabic Light" w:hAnsi="DIN Next LT Arabic Light" w:cs="DIN Next LT Arabic Light" w:eastAsia="DIN Next LT Arabic Light"/>
                <w:color w:val="173A46"/>
                <w:sz w:val="18"/>
                <w:szCs w:val="18"/>
              </w:rPr>
              <w:t>بيانات باوزا</w:t>
            </w:r>
          </w:p>
        </w:tc>
        <w:tc>
          <w:tcPr>
            <w:tcW w:type="dxa" w:w="4968"/>
            <w:shd w:fill="F0F6F6"/>
          </w:tcPr>
          <w:p>
            <w:pPr>
              <w:bidi/>
              <w:spacing w:after="60" w:before="60"/>
              <w:jc w:val="left"/>
            </w:pPr>
            <w:r>
              <w:rPr>
                <w:rFonts w:ascii="DIN Next LT Arabic Light" w:hAnsi="DIN Next LT Arabic Light" w:cs="DIN Next LT Arabic Light" w:eastAsia="DIN Next LT Arabic Light"/>
                <w:color w:val="173A46"/>
                <w:sz w:val="18"/>
                <w:szCs w:val="18"/>
              </w:rPr>
              <w:t>POS وقوائم فروع وتحويلات للفترات نفسها</w:t>
            </w:r>
          </w:p>
        </w:tc>
        <w:tc>
          <w:tcPr>
            <w:tcW w:type="dxa" w:w="2304"/>
            <w:shd w:fill="F0F6F6"/>
          </w:tcPr>
          <w:p>
            <w:pPr>
              <w:bidi/>
              <w:spacing w:after="60" w:before="60"/>
              <w:jc w:val="left"/>
            </w:pPr>
            <w:r>
              <w:rPr>
                <w:rFonts w:ascii="DIN Next LT Arabic Light" w:hAnsi="DIN Next LT Arabic Light" w:cs="DIN Next LT Arabic Light" w:eastAsia="DIN Next LT Arabic Light"/>
                <w:color w:val="173A46"/>
                <w:sz w:val="18"/>
                <w:szCs w:val="18"/>
              </w:rPr>
              <w:t>المالية</w:t>
            </w:r>
          </w:p>
        </w:tc>
      </w:tr>
      <w:tr>
        <w:trPr>
          <w:cantSplit/>
        </w:trPr>
        <w:tc>
          <w:tcPr>
            <w:tcW w:type="dxa" w:w="720"/>
          </w:tcPr>
          <w:p>
            <w:pPr>
              <w:bidi/>
              <w:spacing w:after="60" w:before="60"/>
              <w:jc w:val="left"/>
            </w:pPr>
            <w:r>
              <w:rPr>
                <w:rFonts w:ascii="DIN Next LT Arabic Light" w:hAnsi="DIN Next LT Arabic Light" w:cs="DIN Next LT Arabic Light" w:eastAsia="DIN Next LT Arabic Light"/>
                <w:color w:val="173A46"/>
                <w:sz w:val="18"/>
                <w:szCs w:val="18"/>
              </w:rPr>
              <w:t>07</w:t>
            </w:r>
          </w:p>
        </w:tc>
        <w:tc>
          <w:tcPr>
            <w:tcW w:type="dxa" w:w="1872"/>
          </w:tcPr>
          <w:p>
            <w:pPr>
              <w:bidi/>
              <w:spacing w:after="60" w:before="60"/>
              <w:jc w:val="left"/>
            </w:pPr>
            <w:r>
              <w:rPr>
                <w:rFonts w:ascii="DIN Next LT Arabic Light" w:hAnsi="DIN Next LT Arabic Light" w:cs="DIN Next LT Arabic Light" w:eastAsia="DIN Next LT Arabic Light"/>
                <w:color w:val="173A46"/>
                <w:sz w:val="18"/>
                <w:szCs w:val="18"/>
              </w:rPr>
              <w:t>الفعاليات</w:t>
            </w:r>
          </w:p>
        </w:tc>
        <w:tc>
          <w:tcPr>
            <w:tcW w:type="dxa" w:w="4968"/>
          </w:tcPr>
          <w:p>
            <w:pPr>
              <w:bidi/>
              <w:spacing w:after="60" w:before="60"/>
              <w:jc w:val="left"/>
            </w:pPr>
            <w:r>
              <w:rPr>
                <w:rFonts w:ascii="DIN Next LT Arabic Light" w:hAnsi="DIN Next LT Arabic Light" w:cs="DIN Next LT Arabic Light" w:eastAsia="DIN Next LT Arabic Light"/>
                <w:color w:val="173A46"/>
                <w:sz w:val="18"/>
                <w:szCs w:val="18"/>
              </w:rPr>
              <w:t>عقود وفواتير وتحصيل لرقم خطة 2024</w:t>
            </w:r>
          </w:p>
        </w:tc>
        <w:tc>
          <w:tcPr>
            <w:tcW w:type="dxa" w:w="2304"/>
          </w:tcPr>
          <w:p>
            <w:pPr>
              <w:bidi/>
              <w:spacing w:after="60" w:before="60"/>
              <w:jc w:val="left"/>
            </w:pPr>
            <w:r>
              <w:rPr>
                <w:rFonts w:ascii="DIN Next LT Arabic Light" w:hAnsi="DIN Next LT Arabic Light" w:cs="DIN Next LT Arabic Light" w:eastAsia="DIN Next LT Arabic Light"/>
                <w:color w:val="173A46"/>
                <w:sz w:val="18"/>
                <w:szCs w:val="18"/>
              </w:rPr>
              <w:t>المالية</w:t>
            </w:r>
          </w:p>
        </w:tc>
      </w:tr>
      <w:tr>
        <w:trPr>
          <w:cantSplit/>
        </w:trPr>
        <w:tc>
          <w:tcPr>
            <w:tcW w:type="dxa" w:w="720"/>
            <w:shd w:fill="F0F6F6"/>
          </w:tcPr>
          <w:p>
            <w:pPr>
              <w:bidi/>
              <w:spacing w:after="60" w:before="60"/>
              <w:jc w:val="left"/>
            </w:pPr>
            <w:r>
              <w:rPr>
                <w:rFonts w:ascii="DIN Next LT Arabic Light" w:hAnsi="DIN Next LT Arabic Light" w:cs="DIN Next LT Arabic Light" w:eastAsia="DIN Next LT Arabic Light"/>
                <w:color w:val="173A46"/>
                <w:sz w:val="18"/>
                <w:szCs w:val="18"/>
              </w:rPr>
              <w:t>08</w:t>
            </w:r>
          </w:p>
        </w:tc>
        <w:tc>
          <w:tcPr>
            <w:tcW w:type="dxa" w:w="1872"/>
            <w:shd w:fill="F0F6F6"/>
          </w:tcPr>
          <w:p>
            <w:pPr>
              <w:bidi/>
              <w:spacing w:after="60" w:before="60"/>
              <w:jc w:val="left"/>
            </w:pPr>
            <w:r>
              <w:rPr>
                <w:rFonts w:ascii="DIN Next LT Arabic Light" w:hAnsi="DIN Next LT Arabic Light" w:cs="DIN Next LT Arabic Light" w:eastAsia="DIN Next LT Arabic Light"/>
                <w:color w:val="173A46"/>
                <w:sz w:val="18"/>
                <w:szCs w:val="18"/>
              </w:rPr>
              <w:t>جيل</w:t>
            </w:r>
          </w:p>
        </w:tc>
        <w:tc>
          <w:tcPr>
            <w:tcW w:type="dxa" w:w="4968"/>
            <w:shd w:fill="F0F6F6"/>
          </w:tcPr>
          <w:p>
            <w:pPr>
              <w:bidi/>
              <w:spacing w:after="60" w:before="60"/>
              <w:jc w:val="left"/>
            </w:pPr>
            <w:r>
              <w:rPr>
                <w:rFonts w:ascii="DIN Next LT Arabic Light" w:hAnsi="DIN Next LT Arabic Light" w:cs="DIN Next LT Arabic Light" w:eastAsia="DIN Next LT Arabic Light"/>
                <w:color w:val="173A46"/>
                <w:sz w:val="18"/>
                <w:szCs w:val="18"/>
              </w:rPr>
              <w:t>تطوير وتشغيل وملكية الكود والمحتوى</w:t>
            </w:r>
          </w:p>
        </w:tc>
        <w:tc>
          <w:tcPr>
            <w:tcW w:type="dxa" w:w="2304"/>
            <w:shd w:fill="F0F6F6"/>
          </w:tcPr>
          <w:p>
            <w:pPr>
              <w:bidi/>
              <w:spacing w:after="60" w:before="60"/>
              <w:jc w:val="left"/>
            </w:pPr>
            <w:r>
              <w:rPr>
                <w:rFonts w:ascii="DIN Next LT Arabic Light" w:hAnsi="DIN Next LT Arabic Light" w:cs="DIN Next LT Arabic Light" w:eastAsia="DIN Next LT Arabic Light"/>
                <w:color w:val="173A46"/>
                <w:sz w:val="18"/>
                <w:szCs w:val="18"/>
              </w:rPr>
              <w:t>التقنية والقانوني</w:t>
            </w:r>
          </w:p>
        </w:tc>
      </w:tr>
      <w:tr>
        <w:trPr>
          <w:cantSplit/>
        </w:trPr>
        <w:tc>
          <w:tcPr>
            <w:tcW w:type="dxa" w:w="720"/>
          </w:tcPr>
          <w:p>
            <w:pPr>
              <w:bidi/>
              <w:spacing w:after="60" w:before="60"/>
              <w:jc w:val="left"/>
            </w:pPr>
            <w:r>
              <w:rPr>
                <w:rFonts w:ascii="DIN Next LT Arabic Light" w:hAnsi="DIN Next LT Arabic Light" w:cs="DIN Next LT Arabic Light" w:eastAsia="DIN Next LT Arabic Light"/>
                <w:color w:val="173A46"/>
                <w:sz w:val="18"/>
                <w:szCs w:val="18"/>
              </w:rPr>
              <w:t>09</w:t>
            </w:r>
          </w:p>
        </w:tc>
        <w:tc>
          <w:tcPr>
            <w:tcW w:type="dxa" w:w="1872"/>
          </w:tcPr>
          <w:p>
            <w:pPr>
              <w:bidi/>
              <w:spacing w:after="60" w:before="60"/>
              <w:jc w:val="left"/>
            </w:pPr>
            <w:r>
              <w:rPr>
                <w:rFonts w:ascii="DIN Next LT Arabic Light" w:hAnsi="DIN Next LT Arabic Light" w:cs="DIN Next LT Arabic Light" w:eastAsia="DIN Next LT Arabic Light"/>
                <w:color w:val="173A46"/>
                <w:sz w:val="18"/>
                <w:szCs w:val="18"/>
              </w:rPr>
              <w:t>الدنهام وفيجين 7</w:t>
            </w:r>
          </w:p>
        </w:tc>
        <w:tc>
          <w:tcPr>
            <w:tcW w:type="dxa" w:w="4968"/>
          </w:tcPr>
          <w:p>
            <w:pPr>
              <w:bidi/>
              <w:spacing w:after="60" w:before="60"/>
              <w:jc w:val="left"/>
            </w:pPr>
            <w:r>
              <w:rPr>
                <w:rFonts w:ascii="DIN Next LT Arabic Light" w:hAnsi="DIN Next LT Arabic Light" w:cs="DIN Next LT Arabic Light" w:eastAsia="DIN Next LT Arabic Light"/>
                <w:color w:val="173A46"/>
                <w:sz w:val="18"/>
                <w:szCs w:val="18"/>
              </w:rPr>
              <w:t>نطاق ورسوم ومرافق وشروط تفعيل</w:t>
            </w:r>
          </w:p>
        </w:tc>
        <w:tc>
          <w:tcPr>
            <w:tcW w:type="dxa" w:w="2304"/>
          </w:tcPr>
          <w:p>
            <w:pPr>
              <w:bidi/>
              <w:spacing w:after="60" w:before="60"/>
              <w:jc w:val="left"/>
            </w:pPr>
            <w:r>
              <w:rPr>
                <w:rFonts w:ascii="DIN Next LT Arabic Light" w:hAnsi="DIN Next LT Arabic Light" w:cs="DIN Next LT Arabic Light" w:eastAsia="DIN Next LT Arabic Light"/>
                <w:color w:val="173A46"/>
                <w:sz w:val="18"/>
                <w:szCs w:val="18"/>
              </w:rPr>
              <w:t>التشغيل والقانوني</w:t>
            </w:r>
          </w:p>
        </w:tc>
      </w:tr>
      <w:tr>
        <w:trPr>
          <w:cantSplit/>
        </w:trPr>
        <w:tc>
          <w:tcPr>
            <w:tcW w:type="dxa" w:w="720"/>
            <w:shd w:fill="F0F6F6"/>
          </w:tcPr>
          <w:p>
            <w:pPr>
              <w:bidi/>
              <w:spacing w:after="60" w:before="60"/>
              <w:jc w:val="left"/>
            </w:pPr>
            <w:r>
              <w:rPr>
                <w:rFonts w:ascii="DIN Next LT Arabic Light" w:hAnsi="DIN Next LT Arabic Light" w:cs="DIN Next LT Arabic Light" w:eastAsia="DIN Next LT Arabic Light"/>
                <w:color w:val="173A46"/>
                <w:sz w:val="18"/>
                <w:szCs w:val="18"/>
              </w:rPr>
              <w:t>10</w:t>
            </w:r>
          </w:p>
        </w:tc>
        <w:tc>
          <w:tcPr>
            <w:tcW w:type="dxa" w:w="1872"/>
            <w:shd w:fill="F0F6F6"/>
          </w:tcPr>
          <w:p>
            <w:pPr>
              <w:bidi/>
              <w:spacing w:after="60" w:before="60"/>
              <w:jc w:val="left"/>
            </w:pPr>
            <w:r>
              <w:rPr>
                <w:rFonts w:ascii="DIN Next LT Arabic Light" w:hAnsi="DIN Next LT Arabic Light" w:cs="DIN Next LT Arabic Light" w:eastAsia="DIN Next LT Arabic Light"/>
                <w:color w:val="173A46"/>
                <w:sz w:val="18"/>
                <w:szCs w:val="18"/>
              </w:rPr>
              <w:t>MONTESTEAM / MMI</w:t>
            </w:r>
          </w:p>
        </w:tc>
        <w:tc>
          <w:tcPr>
            <w:tcW w:type="dxa" w:w="4968"/>
            <w:shd w:fill="F0F6F6"/>
          </w:tcPr>
          <w:p>
            <w:pPr>
              <w:bidi/>
              <w:spacing w:after="60" w:before="60"/>
              <w:jc w:val="left"/>
            </w:pPr>
            <w:r>
              <w:rPr>
                <w:rFonts w:ascii="DIN Next LT Arabic Light" w:hAnsi="DIN Next LT Arabic Light" w:cs="DIN Next LT Arabic Light" w:eastAsia="DIN Next LT Arabic Light"/>
                <w:color w:val="173A46"/>
                <w:sz w:val="18"/>
                <w:szCs w:val="18"/>
              </w:rPr>
              <w:t>اعتماد وشهادات وموقع وتراخيص</w:t>
            </w:r>
          </w:p>
        </w:tc>
        <w:tc>
          <w:tcPr>
            <w:tcW w:type="dxa" w:w="2304"/>
            <w:shd w:fill="F0F6F6"/>
          </w:tcPr>
          <w:p>
            <w:pPr>
              <w:bidi/>
              <w:spacing w:after="60" w:before="60"/>
              <w:jc w:val="left"/>
            </w:pPr>
            <w:r>
              <w:rPr>
                <w:rFonts w:ascii="DIN Next LT Arabic Light" w:hAnsi="DIN Next LT Arabic Light" w:cs="DIN Next LT Arabic Light" w:eastAsia="DIN Next LT Arabic Light"/>
                <w:color w:val="173A46"/>
                <w:sz w:val="18"/>
                <w:szCs w:val="18"/>
              </w:rPr>
              <w:t>الأكاديمية</w:t>
            </w:r>
          </w:p>
        </w:tc>
      </w:tr>
      <w:tr>
        <w:trPr>
          <w:cantSplit/>
        </w:trPr>
        <w:tc>
          <w:tcPr>
            <w:tcW w:type="dxa" w:w="720"/>
          </w:tcPr>
          <w:p>
            <w:pPr>
              <w:bidi/>
              <w:spacing w:after="60" w:before="60"/>
              <w:jc w:val="left"/>
            </w:pPr>
            <w:r>
              <w:rPr>
                <w:rFonts w:ascii="DIN Next LT Arabic Light" w:hAnsi="DIN Next LT Arabic Light" w:cs="DIN Next LT Arabic Light" w:eastAsia="DIN Next LT Arabic Light"/>
                <w:color w:val="173A46"/>
                <w:sz w:val="18"/>
                <w:szCs w:val="18"/>
              </w:rPr>
              <w:t>11</w:t>
            </w:r>
          </w:p>
        </w:tc>
        <w:tc>
          <w:tcPr>
            <w:tcW w:type="dxa" w:w="1872"/>
          </w:tcPr>
          <w:p>
            <w:pPr>
              <w:bidi/>
              <w:spacing w:after="60" w:before="60"/>
              <w:jc w:val="left"/>
            </w:pPr>
            <w:r>
              <w:rPr>
                <w:rFonts w:ascii="DIN Next LT Arabic Light" w:hAnsi="DIN Next LT Arabic Light" w:cs="DIN Next LT Arabic Light" w:eastAsia="DIN Next LT Arabic Light"/>
                <w:color w:val="173A46"/>
                <w:sz w:val="18"/>
                <w:szCs w:val="18"/>
              </w:rPr>
              <w:t>برنامج منشآت</w:t>
            </w:r>
          </w:p>
        </w:tc>
        <w:tc>
          <w:tcPr>
            <w:tcW w:type="dxa" w:w="4968"/>
          </w:tcPr>
          <w:p>
            <w:pPr>
              <w:bidi/>
              <w:spacing w:after="60" w:before="60"/>
              <w:jc w:val="left"/>
            </w:pPr>
            <w:r>
              <w:rPr>
                <w:rFonts w:ascii="DIN Next LT Arabic Light" w:hAnsi="DIN Next LT Arabic Light" w:cs="DIN Next LT Arabic Light" w:eastAsia="DIN Next LT Arabic Light"/>
                <w:color w:val="173A46"/>
                <w:sz w:val="18"/>
                <w:szCs w:val="18"/>
              </w:rPr>
              <w:t>نطاق وأهلية ومخرجات وجدول</w:t>
            </w:r>
          </w:p>
        </w:tc>
        <w:tc>
          <w:tcPr>
            <w:tcW w:type="dxa" w:w="2304"/>
          </w:tcPr>
          <w:p>
            <w:pPr>
              <w:bidi/>
              <w:spacing w:after="60" w:before="60"/>
              <w:jc w:val="left"/>
            </w:pPr>
            <w:r>
              <w:rPr>
                <w:rFonts w:ascii="DIN Next LT Arabic Light" w:hAnsi="DIN Next LT Arabic Light" w:cs="DIN Next LT Arabic Light" w:eastAsia="DIN Next LT Arabic Light"/>
                <w:color w:val="173A46"/>
                <w:sz w:val="18"/>
                <w:szCs w:val="18"/>
              </w:rPr>
              <w:t>التطوير</w:t>
            </w:r>
          </w:p>
        </w:tc>
      </w:tr>
      <w:tr>
        <w:trPr>
          <w:cantSplit/>
        </w:trPr>
        <w:tc>
          <w:tcPr>
            <w:tcW w:type="dxa" w:w="720"/>
            <w:shd w:fill="F0F6F6"/>
          </w:tcPr>
          <w:p>
            <w:pPr>
              <w:bidi/>
              <w:spacing w:after="60" w:before="60"/>
              <w:jc w:val="left"/>
            </w:pPr>
            <w:r>
              <w:rPr>
                <w:rFonts w:ascii="DIN Next LT Arabic Light" w:hAnsi="DIN Next LT Arabic Light" w:cs="DIN Next LT Arabic Light" w:eastAsia="DIN Next LT Arabic Light"/>
                <w:color w:val="173A46"/>
                <w:sz w:val="18"/>
                <w:szCs w:val="18"/>
              </w:rPr>
              <w:t>12</w:t>
            </w:r>
          </w:p>
        </w:tc>
        <w:tc>
          <w:tcPr>
            <w:tcW w:type="dxa" w:w="1872"/>
            <w:shd w:fill="F0F6F6"/>
          </w:tcPr>
          <w:p>
            <w:pPr>
              <w:bidi/>
              <w:spacing w:after="60" w:before="60"/>
              <w:jc w:val="left"/>
            </w:pPr>
            <w:r>
              <w:rPr>
                <w:rFonts w:ascii="DIN Next LT Arabic Light" w:hAnsi="DIN Next LT Arabic Light" w:cs="DIN Next LT Arabic Light" w:eastAsia="DIN Next LT Arabic Light"/>
                <w:color w:val="173A46"/>
                <w:sz w:val="18"/>
                <w:szCs w:val="18"/>
              </w:rPr>
              <w:t>ChildHorizon2030</w:t>
            </w:r>
          </w:p>
        </w:tc>
        <w:tc>
          <w:tcPr>
            <w:tcW w:type="dxa" w:w="4968"/>
            <w:shd w:fill="F0F6F6"/>
          </w:tcPr>
          <w:p>
            <w:pPr>
              <w:bidi/>
              <w:spacing w:after="60" w:before="60"/>
              <w:jc w:val="left"/>
            </w:pPr>
            <w:r>
              <w:rPr>
                <w:rFonts w:ascii="DIN Next LT Arabic Light" w:hAnsi="DIN Next LT Arabic Light" w:cs="DIN Next LT Arabic Light" w:eastAsia="DIN Next LT Arabic Light"/>
                <w:color w:val="173A46"/>
                <w:sz w:val="18"/>
                <w:szCs w:val="18"/>
              </w:rPr>
              <w:t>تشغيل صباحي وترخيص ومسؤوليات</w:t>
            </w:r>
          </w:p>
        </w:tc>
        <w:tc>
          <w:tcPr>
            <w:tcW w:type="dxa" w:w="2304"/>
            <w:shd w:fill="F0F6F6"/>
          </w:tcPr>
          <w:p>
            <w:pPr>
              <w:bidi/>
              <w:spacing w:after="60" w:before="60"/>
              <w:jc w:val="left"/>
            </w:pPr>
            <w:r>
              <w:rPr>
                <w:rFonts w:ascii="DIN Next LT Arabic Light" w:hAnsi="DIN Next LT Arabic Light" w:cs="DIN Next LT Arabic Light" w:eastAsia="DIN Next LT Arabic Light"/>
                <w:color w:val="173A46"/>
                <w:sz w:val="18"/>
                <w:szCs w:val="18"/>
              </w:rPr>
              <w:t>التشغيل</w:t>
            </w:r>
          </w:p>
        </w:tc>
      </w:tr>
    </w:tbl>
    <w:p>
      <w:pPr>
        <w:spacing w:after="0"/>
      </w:pPr>
    </w:p>
    <w:p>
      <w:pPr>
        <w:bidi/>
        <w:jc w:val="left"/>
        <w:shd w:fill="EAF5F4"/>
      </w:pPr>
      <w:r>
        <w:rPr>
          <w:rFonts w:ascii="DIN Next LT Arabic Light" w:hAnsi="DIN Next LT Arabic Light" w:cs="DIN Next LT Arabic Light" w:eastAsia="DIN Next LT Arabic Light"/>
          <w:color w:val="173A46"/>
          <w:sz w:val="18"/>
          <w:szCs w:val="18"/>
        </w:rPr>
        <w:t>استلام المستند لا يعني قبول نتيجة الفحص. سجل Data Room يفرق الملفات المستلمة عن العقود والإثباتات المطلوبة، والفيديوهات و3D عن التصاميم المنشورة.</w:t>
      </w:r>
    </w:p>
    <w:p>
      <w:r>
        <w:br w:type="page"/>
      </w:r>
    </w:p>
    <w:p>
      <w:pPr>
        <w:pStyle w:val="Heading1"/>
        <w:bidi/>
        <w:jc w:val="left"/>
      </w:pPr>
      <w:r>
        <w:rPr>
          <w:rFonts w:ascii="DIN Next LT Arabic Medium" w:hAnsi="DIN Next LT Arabic Medium" w:cs="DIN Next LT Arabic Medium" w:eastAsia="DIN Next LT Arabic Medium"/>
          <w:color w:val="173A46"/>
          <w:sz w:val="46"/>
          <w:szCs w:val="46"/>
        </w:rPr>
        <w:t>مستندات الفحص 2</w:t>
      </w:r>
    </w:p>
    <w:p>
      <w:pPr>
        <w:bidi/>
        <w:jc w:val="left"/>
      </w:pPr>
      <w:r>
        <w:rPr>
          <w:rFonts w:ascii="DIN Next LT Arabic Light" w:hAnsi="DIN Next LT Arabic Light" w:cs="DIN Next LT Arabic Light" w:eastAsia="DIN Next LT Arabic Light"/>
          <w:color w:val="173A46"/>
          <w:sz w:val="21"/>
          <w:szCs w:val="21"/>
        </w:rPr>
        <w:t>تسلم الوثيقة برقم ومالك وفترة ونسخة، وترتبط بسجل ملاحظات وقرار إغلاق. الأولوية للملكية والتحصيل والعقود والحقوق والتكلفة.</w:t>
      </w:r>
    </w:p>
    <w:tbl>
      <w:tblPr>
        <w:tblW w:type="auto" w:w="0"/>
        <w:jc w:val="center"/>
        <w:tblLayout w:type="fixed"/>
        <w:tblLook w:firstColumn="1" w:firstRow="1" w:lastColumn="0" w:lastRow="0" w:noHBand="0" w:noVBand="1" w:val="04A0"/>
        <w:bidiVisual/>
      </w:tblPr>
      <w:tblGrid>
        <w:gridCol w:w="720"/>
        <w:gridCol w:w="1872"/>
        <w:gridCol w:w="4968"/>
        <w:gridCol w:w="2304"/>
      </w:tblGrid>
      <w:tr>
        <w:trPr>
          <w:cantSplit/>
        </w:trPr>
        <w:tc>
          <w:tcPr>
            <w:tcW w:type="dxa" w:w="720"/>
            <w:shd w:fill="073B4A"/>
          </w:tcPr>
          <w:p>
            <w:pPr>
              <w:bidi/>
              <w:jc w:val="left"/>
            </w:pPr>
            <w:r>
              <w:rPr>
                <w:rFonts w:ascii="DIN Next LT Arabic Medium" w:hAnsi="DIN Next LT Arabic Medium" w:cs="DIN Next LT Arabic Medium" w:eastAsia="DIN Next LT Arabic Medium"/>
                <w:color w:val="FFFFFF"/>
                <w:sz w:val="18"/>
                <w:szCs w:val="18"/>
              </w:rPr>
              <w:t>رقم</w:t>
            </w:r>
          </w:p>
        </w:tc>
        <w:tc>
          <w:tcPr>
            <w:tcW w:type="dxa" w:w="1872"/>
            <w:shd w:fill="073B4A"/>
          </w:tcPr>
          <w:p>
            <w:pPr>
              <w:bidi/>
              <w:jc w:val="left"/>
            </w:pPr>
            <w:r>
              <w:rPr>
                <w:rFonts w:ascii="DIN Next LT Arabic Medium" w:hAnsi="DIN Next LT Arabic Medium" w:cs="DIN Next LT Arabic Medium" w:eastAsia="DIN Next LT Arabic Medium"/>
                <w:color w:val="FFFFFF"/>
                <w:sz w:val="18"/>
                <w:szCs w:val="18"/>
              </w:rPr>
              <w:t>المجموعة</w:t>
            </w:r>
          </w:p>
        </w:tc>
        <w:tc>
          <w:tcPr>
            <w:tcW w:type="dxa" w:w="4968"/>
            <w:shd w:fill="073B4A"/>
          </w:tcPr>
          <w:p>
            <w:pPr>
              <w:bidi/>
              <w:jc w:val="left"/>
            </w:pPr>
            <w:r>
              <w:rPr>
                <w:rFonts w:ascii="DIN Next LT Arabic Medium" w:hAnsi="DIN Next LT Arabic Medium" w:cs="DIN Next LT Arabic Medium" w:eastAsia="DIN Next LT Arabic Medium"/>
                <w:color w:val="FFFFFF"/>
                <w:sz w:val="18"/>
                <w:szCs w:val="18"/>
              </w:rPr>
              <w:t>المستند المطلوب</w:t>
            </w:r>
          </w:p>
        </w:tc>
        <w:tc>
          <w:tcPr>
            <w:tcW w:type="dxa" w:w="2304"/>
            <w:shd w:fill="073B4A"/>
          </w:tcPr>
          <w:p>
            <w:pPr>
              <w:bidi/>
              <w:jc w:val="left"/>
            </w:pPr>
            <w:r>
              <w:rPr>
                <w:rFonts w:ascii="DIN Next LT Arabic Medium" w:hAnsi="DIN Next LT Arabic Medium" w:cs="DIN Next LT Arabic Medium" w:eastAsia="DIN Next LT Arabic Medium"/>
                <w:color w:val="FFFFFF"/>
                <w:sz w:val="18"/>
                <w:szCs w:val="18"/>
              </w:rPr>
              <w:t>المسؤول</w:t>
            </w:r>
          </w:p>
        </w:tc>
      </w:tr>
      <w:tr>
        <w:trPr>
          <w:cantSplit/>
        </w:trPr>
        <w:tc>
          <w:tcPr>
            <w:tcW w:type="dxa" w:w="720"/>
          </w:tcPr>
          <w:p>
            <w:pPr>
              <w:bidi/>
              <w:spacing w:after="60" w:before="60"/>
              <w:jc w:val="left"/>
            </w:pPr>
            <w:r>
              <w:rPr>
                <w:rFonts w:ascii="DIN Next LT Arabic Light" w:hAnsi="DIN Next LT Arabic Light" w:cs="DIN Next LT Arabic Light" w:eastAsia="DIN Next LT Arabic Light"/>
                <w:color w:val="173A46"/>
                <w:sz w:val="18"/>
                <w:szCs w:val="18"/>
              </w:rPr>
              <w:t>13</w:t>
            </w:r>
          </w:p>
        </w:tc>
        <w:tc>
          <w:tcPr>
            <w:tcW w:type="dxa" w:w="1872"/>
          </w:tcPr>
          <w:p>
            <w:pPr>
              <w:bidi/>
              <w:spacing w:after="60" w:before="60"/>
              <w:jc w:val="left"/>
            </w:pPr>
            <w:r>
              <w:rPr>
                <w:rFonts w:ascii="DIN Next LT Arabic Light" w:hAnsi="DIN Next LT Arabic Light" w:cs="DIN Next LT Arabic Light" w:eastAsia="DIN Next LT Arabic Light"/>
                <w:color w:val="173A46"/>
                <w:sz w:val="18"/>
                <w:szCs w:val="18"/>
              </w:rPr>
              <w:t>واحة الملك سلمان</w:t>
            </w:r>
          </w:p>
        </w:tc>
        <w:tc>
          <w:tcPr>
            <w:tcW w:type="dxa" w:w="4968"/>
          </w:tcPr>
          <w:p>
            <w:pPr>
              <w:bidi/>
              <w:spacing w:after="60" w:before="60"/>
              <w:jc w:val="left"/>
            </w:pPr>
            <w:r>
              <w:rPr>
                <w:rFonts w:ascii="DIN Next LT Arabic Light" w:hAnsi="DIN Next LT Arabic Light" w:cs="DIN Next LT Arabic Light" w:eastAsia="DIN Next LT Arabic Light"/>
                <w:color w:val="173A46"/>
                <w:sz w:val="18"/>
                <w:szCs w:val="18"/>
              </w:rPr>
              <w:t>نطاق FAB LAB وتجهيز وسلامة وإشراف</w:t>
            </w:r>
          </w:p>
        </w:tc>
        <w:tc>
          <w:tcPr>
            <w:tcW w:type="dxa" w:w="2304"/>
          </w:tcPr>
          <w:p>
            <w:pPr>
              <w:bidi/>
              <w:spacing w:after="60" w:before="60"/>
              <w:jc w:val="left"/>
            </w:pPr>
            <w:r>
              <w:rPr>
                <w:rFonts w:ascii="DIN Next LT Arabic Light" w:hAnsi="DIN Next LT Arabic Light" w:cs="DIN Next LT Arabic Light" w:eastAsia="DIN Next LT Arabic Light"/>
                <w:color w:val="173A46"/>
                <w:sz w:val="18"/>
                <w:szCs w:val="18"/>
              </w:rPr>
              <w:t>التطوير</w:t>
            </w:r>
          </w:p>
        </w:tc>
      </w:tr>
      <w:tr>
        <w:trPr>
          <w:cantSplit/>
        </w:trPr>
        <w:tc>
          <w:tcPr>
            <w:tcW w:type="dxa" w:w="720"/>
            <w:shd w:fill="F0F6F6"/>
          </w:tcPr>
          <w:p>
            <w:pPr>
              <w:bidi/>
              <w:spacing w:after="60" w:before="60"/>
              <w:jc w:val="left"/>
            </w:pPr>
            <w:r>
              <w:rPr>
                <w:rFonts w:ascii="DIN Next LT Arabic Light" w:hAnsi="DIN Next LT Arabic Light" w:cs="DIN Next LT Arabic Light" w:eastAsia="DIN Next LT Arabic Light"/>
                <w:color w:val="173A46"/>
                <w:sz w:val="18"/>
                <w:szCs w:val="18"/>
              </w:rPr>
              <w:t>14</w:t>
            </w:r>
          </w:p>
        </w:tc>
        <w:tc>
          <w:tcPr>
            <w:tcW w:type="dxa" w:w="1872"/>
            <w:shd w:fill="F0F6F6"/>
          </w:tcPr>
          <w:p>
            <w:pPr>
              <w:bidi/>
              <w:spacing w:after="60" w:before="60"/>
              <w:jc w:val="left"/>
            </w:pPr>
            <w:r>
              <w:rPr>
                <w:rFonts w:ascii="DIN Next LT Arabic Light" w:hAnsi="DIN Next LT Arabic Light" w:cs="DIN Next LT Arabic Light" w:eastAsia="DIN Next LT Arabic Light"/>
                <w:color w:val="173A46"/>
                <w:sz w:val="18"/>
                <w:szCs w:val="18"/>
              </w:rPr>
              <w:t>سجل IPs</w:t>
            </w:r>
          </w:p>
        </w:tc>
        <w:tc>
          <w:tcPr>
            <w:tcW w:type="dxa" w:w="4968"/>
            <w:shd w:fill="F0F6F6"/>
          </w:tcPr>
          <w:p>
            <w:pPr>
              <w:bidi/>
              <w:spacing w:after="60" w:before="60"/>
              <w:jc w:val="left"/>
            </w:pPr>
            <w:r>
              <w:rPr>
                <w:rFonts w:ascii="DIN Next LT Arabic Light" w:hAnsi="DIN Next LT Arabic Light" w:cs="DIN Next LT Arabic Light" w:eastAsia="DIN Next LT Arabic Light"/>
                <w:color w:val="173A46"/>
                <w:sz w:val="18"/>
                <w:szCs w:val="18"/>
              </w:rPr>
              <w:t>ملكية وترخيص وعلامات وحدود حصرية</w:t>
            </w:r>
          </w:p>
        </w:tc>
        <w:tc>
          <w:tcPr>
            <w:tcW w:type="dxa" w:w="2304"/>
            <w:shd w:fill="F0F6F6"/>
          </w:tcPr>
          <w:p>
            <w:pPr>
              <w:bidi/>
              <w:spacing w:after="60" w:before="60"/>
              <w:jc w:val="left"/>
            </w:pPr>
            <w:r>
              <w:rPr>
                <w:rFonts w:ascii="DIN Next LT Arabic Light" w:hAnsi="DIN Next LT Arabic Light" w:cs="DIN Next LT Arabic Light" w:eastAsia="DIN Next LT Arabic Light"/>
                <w:color w:val="173A46"/>
                <w:sz w:val="18"/>
                <w:szCs w:val="18"/>
              </w:rPr>
              <w:t>القانوني</w:t>
            </w:r>
          </w:p>
        </w:tc>
      </w:tr>
      <w:tr>
        <w:trPr>
          <w:cantSplit/>
        </w:trPr>
        <w:tc>
          <w:tcPr>
            <w:tcW w:type="dxa" w:w="720"/>
          </w:tcPr>
          <w:p>
            <w:pPr>
              <w:bidi/>
              <w:spacing w:after="60" w:before="60"/>
              <w:jc w:val="left"/>
            </w:pPr>
            <w:r>
              <w:rPr>
                <w:rFonts w:ascii="DIN Next LT Arabic Light" w:hAnsi="DIN Next LT Arabic Light" w:cs="DIN Next LT Arabic Light" w:eastAsia="DIN Next LT Arabic Light"/>
                <w:color w:val="173A46"/>
                <w:sz w:val="18"/>
                <w:szCs w:val="18"/>
              </w:rPr>
              <w:t>15</w:t>
            </w:r>
          </w:p>
        </w:tc>
        <w:tc>
          <w:tcPr>
            <w:tcW w:type="dxa" w:w="1872"/>
          </w:tcPr>
          <w:p>
            <w:pPr>
              <w:bidi/>
              <w:spacing w:after="60" w:before="60"/>
              <w:jc w:val="left"/>
            </w:pPr>
            <w:r>
              <w:rPr>
                <w:rFonts w:ascii="DIN Next LT Arabic Light" w:hAnsi="DIN Next LT Arabic Light" w:cs="DIN Next LT Arabic Light" w:eastAsia="DIN Next LT Arabic Light"/>
                <w:color w:val="173A46"/>
                <w:sz w:val="18"/>
                <w:szCs w:val="18"/>
              </w:rPr>
              <w:t>التطبيقات</w:t>
            </w:r>
          </w:p>
        </w:tc>
        <w:tc>
          <w:tcPr>
            <w:tcW w:type="dxa" w:w="4968"/>
          </w:tcPr>
          <w:p>
            <w:pPr>
              <w:bidi/>
              <w:spacing w:after="60" w:before="60"/>
              <w:jc w:val="left"/>
            </w:pPr>
            <w:r>
              <w:rPr>
                <w:rFonts w:ascii="DIN Next LT Arabic Light" w:hAnsi="DIN Next LT Arabic Light" w:cs="DIN Next LT Arabic Light" w:eastAsia="DIN Next LT Arabic Light"/>
                <w:color w:val="173A46"/>
                <w:sz w:val="18"/>
                <w:szCs w:val="18"/>
              </w:rPr>
              <w:t>اختبار ومصدر وحقوق وحسابات تشغيل</w:t>
            </w:r>
          </w:p>
        </w:tc>
        <w:tc>
          <w:tcPr>
            <w:tcW w:type="dxa" w:w="2304"/>
          </w:tcPr>
          <w:p>
            <w:pPr>
              <w:bidi/>
              <w:spacing w:after="60" w:before="60"/>
              <w:jc w:val="left"/>
            </w:pPr>
            <w:r>
              <w:rPr>
                <w:rFonts w:ascii="DIN Next LT Arabic Light" w:hAnsi="DIN Next LT Arabic Light" w:cs="DIN Next LT Arabic Light" w:eastAsia="DIN Next LT Arabic Light"/>
                <w:color w:val="173A46"/>
                <w:sz w:val="18"/>
                <w:szCs w:val="18"/>
              </w:rPr>
              <w:t>التقنية</w:t>
            </w:r>
          </w:p>
        </w:tc>
      </w:tr>
      <w:tr>
        <w:trPr>
          <w:cantSplit/>
        </w:trPr>
        <w:tc>
          <w:tcPr>
            <w:tcW w:type="dxa" w:w="720"/>
            <w:shd w:fill="F0F6F6"/>
          </w:tcPr>
          <w:p>
            <w:pPr>
              <w:bidi/>
              <w:spacing w:after="60" w:before="60"/>
              <w:jc w:val="left"/>
            </w:pPr>
            <w:r>
              <w:rPr>
                <w:rFonts w:ascii="DIN Next LT Arabic Light" w:hAnsi="DIN Next LT Arabic Light" w:cs="DIN Next LT Arabic Light" w:eastAsia="DIN Next LT Arabic Light"/>
                <w:color w:val="173A46"/>
                <w:sz w:val="18"/>
                <w:szCs w:val="18"/>
              </w:rPr>
              <w:t>16</w:t>
            </w:r>
          </w:p>
        </w:tc>
        <w:tc>
          <w:tcPr>
            <w:tcW w:type="dxa" w:w="1872"/>
            <w:shd w:fill="F0F6F6"/>
          </w:tcPr>
          <w:p>
            <w:pPr>
              <w:bidi/>
              <w:spacing w:after="60" w:before="60"/>
              <w:jc w:val="left"/>
            </w:pPr>
            <w:r>
              <w:rPr>
                <w:rFonts w:ascii="DIN Next LT Arabic Light" w:hAnsi="DIN Next LT Arabic Light" w:cs="DIN Next LT Arabic Light" w:eastAsia="DIN Next LT Arabic Light"/>
                <w:color w:val="173A46"/>
                <w:sz w:val="18"/>
                <w:szCs w:val="18"/>
              </w:rPr>
              <w:t>موازنة التجهيز</w:t>
            </w:r>
          </w:p>
        </w:tc>
        <w:tc>
          <w:tcPr>
            <w:tcW w:type="dxa" w:w="4968"/>
            <w:shd w:fill="F0F6F6"/>
          </w:tcPr>
          <w:p>
            <w:pPr>
              <w:bidi/>
              <w:spacing w:after="60" w:before="60"/>
              <w:jc w:val="left"/>
            </w:pPr>
            <w:r>
              <w:rPr>
                <w:rFonts w:ascii="DIN Next LT Arabic Light" w:hAnsi="DIN Next LT Arabic Light" w:cs="DIN Next LT Arabic Light" w:eastAsia="DIN Next LT Arabic Light"/>
                <w:color w:val="173A46"/>
                <w:sz w:val="18"/>
                <w:szCs w:val="18"/>
              </w:rPr>
              <w:t>عروض أسعار وأصول وموردون وصرف</w:t>
            </w:r>
          </w:p>
        </w:tc>
        <w:tc>
          <w:tcPr>
            <w:tcW w:type="dxa" w:w="2304"/>
            <w:shd w:fill="F0F6F6"/>
          </w:tcPr>
          <w:p>
            <w:pPr>
              <w:bidi/>
              <w:spacing w:after="60" w:before="60"/>
              <w:jc w:val="left"/>
            </w:pPr>
            <w:r>
              <w:rPr>
                <w:rFonts w:ascii="DIN Next LT Arabic Light" w:hAnsi="DIN Next LT Arabic Light" w:cs="DIN Next LT Arabic Light" w:eastAsia="DIN Next LT Arabic Light"/>
                <w:color w:val="173A46"/>
                <w:sz w:val="18"/>
                <w:szCs w:val="18"/>
              </w:rPr>
              <w:t>المالية والتطوير</w:t>
            </w:r>
          </w:p>
        </w:tc>
      </w:tr>
      <w:tr>
        <w:trPr>
          <w:cantSplit/>
        </w:trPr>
        <w:tc>
          <w:tcPr>
            <w:tcW w:type="dxa" w:w="720"/>
          </w:tcPr>
          <w:p>
            <w:pPr>
              <w:bidi/>
              <w:spacing w:after="60" w:before="60"/>
              <w:jc w:val="left"/>
            </w:pPr>
            <w:r>
              <w:rPr>
                <w:rFonts w:ascii="DIN Next LT Arabic Light" w:hAnsi="DIN Next LT Arabic Light" w:cs="DIN Next LT Arabic Light" w:eastAsia="DIN Next LT Arabic Light"/>
                <w:color w:val="173A46"/>
                <w:sz w:val="18"/>
                <w:szCs w:val="18"/>
              </w:rPr>
              <w:t>17</w:t>
            </w:r>
          </w:p>
        </w:tc>
        <w:tc>
          <w:tcPr>
            <w:tcW w:type="dxa" w:w="1872"/>
          </w:tcPr>
          <w:p>
            <w:pPr>
              <w:bidi/>
              <w:spacing w:after="60" w:before="60"/>
              <w:jc w:val="left"/>
            </w:pPr>
            <w:r>
              <w:rPr>
                <w:rFonts w:ascii="DIN Next LT Arabic Light" w:hAnsi="DIN Next LT Arabic Light" w:cs="DIN Next LT Arabic Light" w:eastAsia="DIN Next LT Arabic Light"/>
                <w:color w:val="173A46"/>
                <w:sz w:val="18"/>
                <w:szCs w:val="18"/>
              </w:rPr>
              <w:t>تصاميم المواقع</w:t>
            </w:r>
          </w:p>
        </w:tc>
        <w:tc>
          <w:tcPr>
            <w:tcW w:type="dxa" w:w="4968"/>
          </w:tcPr>
          <w:p>
            <w:pPr>
              <w:bidi/>
              <w:spacing w:after="60" w:before="60"/>
              <w:jc w:val="left"/>
            </w:pPr>
            <w:r>
              <w:rPr>
                <w:rFonts w:ascii="DIN Next LT Arabic Light" w:hAnsi="DIN Next LT Arabic Light" w:cs="DIN Next LT Arabic Light" w:eastAsia="DIN Next LT Arabic Light"/>
                <w:color w:val="173A46"/>
                <w:sz w:val="18"/>
                <w:szCs w:val="18"/>
              </w:rPr>
              <w:t>مساحات وسعة ومخططات و3D ورحلة أسرة</w:t>
            </w:r>
          </w:p>
        </w:tc>
        <w:tc>
          <w:tcPr>
            <w:tcW w:type="dxa" w:w="2304"/>
          </w:tcPr>
          <w:p>
            <w:pPr>
              <w:bidi/>
              <w:spacing w:after="60" w:before="60"/>
              <w:jc w:val="left"/>
            </w:pPr>
            <w:r>
              <w:rPr>
                <w:rFonts w:ascii="DIN Next LT Arabic Light" w:hAnsi="DIN Next LT Arabic Light" w:cs="DIN Next LT Arabic Light" w:eastAsia="DIN Next LT Arabic Light"/>
                <w:color w:val="173A46"/>
                <w:sz w:val="18"/>
                <w:szCs w:val="18"/>
              </w:rPr>
              <w:t>التصميم</w:t>
            </w:r>
          </w:p>
        </w:tc>
      </w:tr>
      <w:tr>
        <w:trPr>
          <w:cantSplit/>
        </w:trPr>
        <w:tc>
          <w:tcPr>
            <w:tcW w:type="dxa" w:w="720"/>
            <w:shd w:fill="F0F6F6"/>
          </w:tcPr>
          <w:p>
            <w:pPr>
              <w:bidi/>
              <w:spacing w:after="60" w:before="60"/>
              <w:jc w:val="left"/>
            </w:pPr>
            <w:r>
              <w:rPr>
                <w:rFonts w:ascii="DIN Next LT Arabic Light" w:hAnsi="DIN Next LT Arabic Light" w:cs="DIN Next LT Arabic Light" w:eastAsia="DIN Next LT Arabic Light"/>
                <w:color w:val="173A46"/>
                <w:sz w:val="18"/>
                <w:szCs w:val="18"/>
              </w:rPr>
              <w:t>18</w:t>
            </w:r>
          </w:p>
        </w:tc>
        <w:tc>
          <w:tcPr>
            <w:tcW w:type="dxa" w:w="1872"/>
            <w:shd w:fill="F0F6F6"/>
          </w:tcPr>
          <w:p>
            <w:pPr>
              <w:bidi/>
              <w:spacing w:after="60" w:before="60"/>
              <w:jc w:val="left"/>
            </w:pPr>
            <w:r>
              <w:rPr>
                <w:rFonts w:ascii="DIN Next LT Arabic Light" w:hAnsi="DIN Next LT Arabic Light" w:cs="DIN Next LT Arabic Light" w:eastAsia="DIN Next LT Arabic Light"/>
                <w:color w:val="173A46"/>
                <w:sz w:val="18"/>
                <w:szCs w:val="18"/>
              </w:rPr>
              <w:t>السلامة والرخص</w:t>
            </w:r>
          </w:p>
        </w:tc>
        <w:tc>
          <w:tcPr>
            <w:tcW w:type="dxa" w:w="4968"/>
            <w:shd w:fill="F0F6F6"/>
          </w:tcPr>
          <w:p>
            <w:pPr>
              <w:bidi/>
              <w:spacing w:after="60" w:before="60"/>
              <w:jc w:val="left"/>
            </w:pPr>
            <w:r>
              <w:rPr>
                <w:rFonts w:ascii="DIN Next LT Arabic Light" w:hAnsi="DIN Next LT Arabic Light" w:cs="DIN Next LT Arabic Light" w:eastAsia="DIN Next LT Arabic Light"/>
                <w:color w:val="173A46"/>
                <w:sz w:val="18"/>
                <w:szCs w:val="18"/>
              </w:rPr>
              <w:t>سياسات وتأمين وإشراف وتراخيص</w:t>
            </w:r>
          </w:p>
        </w:tc>
        <w:tc>
          <w:tcPr>
            <w:tcW w:type="dxa" w:w="2304"/>
            <w:shd w:fill="F0F6F6"/>
          </w:tcPr>
          <w:p>
            <w:pPr>
              <w:bidi/>
              <w:spacing w:after="60" w:before="60"/>
              <w:jc w:val="left"/>
            </w:pPr>
            <w:r>
              <w:rPr>
                <w:rFonts w:ascii="DIN Next LT Arabic Light" w:hAnsi="DIN Next LT Arabic Light" w:cs="DIN Next LT Arabic Light" w:eastAsia="DIN Next LT Arabic Light"/>
                <w:color w:val="173A46"/>
                <w:sz w:val="18"/>
                <w:szCs w:val="18"/>
              </w:rPr>
              <w:t>التشغيل</w:t>
            </w:r>
          </w:p>
        </w:tc>
      </w:tr>
      <w:tr>
        <w:trPr>
          <w:cantSplit/>
        </w:trPr>
        <w:tc>
          <w:tcPr>
            <w:tcW w:type="dxa" w:w="720"/>
          </w:tcPr>
          <w:p>
            <w:pPr>
              <w:bidi/>
              <w:spacing w:after="60" w:before="60"/>
              <w:jc w:val="left"/>
            </w:pPr>
            <w:r>
              <w:rPr>
                <w:rFonts w:ascii="DIN Next LT Arabic Light" w:hAnsi="DIN Next LT Arabic Light" w:cs="DIN Next LT Arabic Light" w:eastAsia="DIN Next LT Arabic Light"/>
                <w:color w:val="173A46"/>
                <w:sz w:val="18"/>
                <w:szCs w:val="18"/>
              </w:rPr>
              <w:t>19</w:t>
            </w:r>
          </w:p>
        </w:tc>
        <w:tc>
          <w:tcPr>
            <w:tcW w:type="dxa" w:w="1872"/>
          </w:tcPr>
          <w:p>
            <w:pPr>
              <w:bidi/>
              <w:spacing w:after="60" w:before="60"/>
              <w:jc w:val="left"/>
            </w:pPr>
            <w:r>
              <w:rPr>
                <w:rFonts w:ascii="DIN Next LT Arabic Light" w:hAnsi="DIN Next LT Arabic Light" w:cs="DIN Next LT Arabic Light" w:eastAsia="DIN Next LT Arabic Light"/>
                <w:color w:val="173A46"/>
                <w:sz w:val="18"/>
                <w:szCs w:val="18"/>
              </w:rPr>
              <w:t>خط المبيعات</w:t>
            </w:r>
          </w:p>
        </w:tc>
        <w:tc>
          <w:tcPr>
            <w:tcW w:type="dxa" w:w="4968"/>
          </w:tcPr>
          <w:p>
            <w:pPr>
              <w:bidi/>
              <w:spacing w:after="60" w:before="60"/>
              <w:jc w:val="left"/>
            </w:pPr>
            <w:r>
              <w:rPr>
                <w:rFonts w:ascii="DIN Next LT Arabic Light" w:hAnsi="DIN Next LT Arabic Light" w:cs="DIN Next LT Arabic Light" w:eastAsia="DIN Next LT Arabic Light"/>
                <w:color w:val="173A46"/>
                <w:sz w:val="18"/>
                <w:szCs w:val="18"/>
              </w:rPr>
              <w:t>طلبات مدفوعة وعقود مدارس وجهات</w:t>
            </w:r>
          </w:p>
        </w:tc>
        <w:tc>
          <w:tcPr>
            <w:tcW w:type="dxa" w:w="2304"/>
          </w:tcPr>
          <w:p>
            <w:pPr>
              <w:bidi/>
              <w:spacing w:after="60" w:before="60"/>
              <w:jc w:val="left"/>
            </w:pPr>
            <w:r>
              <w:rPr>
                <w:rFonts w:ascii="DIN Next LT Arabic Light" w:hAnsi="DIN Next LT Arabic Light" w:cs="DIN Next LT Arabic Light" w:eastAsia="DIN Next LT Arabic Light"/>
                <w:color w:val="173A46"/>
                <w:sz w:val="18"/>
                <w:szCs w:val="18"/>
              </w:rPr>
              <w:t>المبيعات</w:t>
            </w:r>
          </w:p>
        </w:tc>
      </w:tr>
      <w:tr>
        <w:trPr>
          <w:cantSplit/>
        </w:trPr>
        <w:tc>
          <w:tcPr>
            <w:tcW w:type="dxa" w:w="720"/>
            <w:shd w:fill="F0F6F6"/>
          </w:tcPr>
          <w:p>
            <w:pPr>
              <w:bidi/>
              <w:spacing w:after="60" w:before="60"/>
              <w:jc w:val="left"/>
            </w:pPr>
            <w:r>
              <w:rPr>
                <w:rFonts w:ascii="DIN Next LT Arabic Light" w:hAnsi="DIN Next LT Arabic Light" w:cs="DIN Next LT Arabic Light" w:eastAsia="DIN Next LT Arabic Light"/>
                <w:color w:val="173A46"/>
                <w:sz w:val="18"/>
                <w:szCs w:val="18"/>
              </w:rPr>
              <w:t>20</w:t>
            </w:r>
          </w:p>
        </w:tc>
        <w:tc>
          <w:tcPr>
            <w:tcW w:type="dxa" w:w="1872"/>
            <w:shd w:fill="F0F6F6"/>
          </w:tcPr>
          <w:p>
            <w:pPr>
              <w:bidi/>
              <w:spacing w:after="60" w:before="60"/>
              <w:jc w:val="left"/>
            </w:pPr>
            <w:r>
              <w:rPr>
                <w:rFonts w:ascii="DIN Next LT Arabic Light" w:hAnsi="DIN Next LT Arabic Light" w:cs="DIN Next LT Arabic Light" w:eastAsia="DIN Next LT Arabic Light"/>
                <w:color w:val="173A46"/>
                <w:sz w:val="18"/>
                <w:szCs w:val="18"/>
              </w:rPr>
              <w:t>النقد والالتزامات</w:t>
            </w:r>
          </w:p>
        </w:tc>
        <w:tc>
          <w:tcPr>
            <w:tcW w:type="dxa" w:w="4968"/>
            <w:shd w:fill="F0F6F6"/>
          </w:tcPr>
          <w:p>
            <w:pPr>
              <w:bidi/>
              <w:spacing w:after="60" w:before="60"/>
              <w:jc w:val="left"/>
            </w:pPr>
            <w:r>
              <w:rPr>
                <w:rFonts w:ascii="DIN Next LT Arabic Light" w:hAnsi="DIN Next LT Arabic Light" w:cs="DIN Next LT Arabic Light" w:eastAsia="DIN Next LT Arabic Light"/>
                <w:color w:val="173A46"/>
                <w:sz w:val="18"/>
                <w:szCs w:val="18"/>
              </w:rPr>
              <w:t>بنك ودين وأطراف مرتبطة ومطالبات</w:t>
            </w:r>
          </w:p>
        </w:tc>
        <w:tc>
          <w:tcPr>
            <w:tcW w:type="dxa" w:w="2304"/>
            <w:shd w:fill="F0F6F6"/>
          </w:tcPr>
          <w:p>
            <w:pPr>
              <w:bidi/>
              <w:spacing w:after="60" w:before="60"/>
              <w:jc w:val="left"/>
            </w:pPr>
            <w:r>
              <w:rPr>
                <w:rFonts w:ascii="DIN Next LT Arabic Light" w:hAnsi="DIN Next LT Arabic Light" w:cs="DIN Next LT Arabic Light" w:eastAsia="DIN Next LT Arabic Light"/>
                <w:color w:val="173A46"/>
                <w:sz w:val="18"/>
                <w:szCs w:val="18"/>
              </w:rPr>
              <w:t>المالية</w:t>
            </w:r>
          </w:p>
        </w:tc>
      </w:tr>
      <w:tr>
        <w:trPr>
          <w:cantSplit/>
        </w:trPr>
        <w:tc>
          <w:tcPr>
            <w:tcW w:type="dxa" w:w="720"/>
          </w:tcPr>
          <w:p>
            <w:pPr>
              <w:bidi/>
              <w:spacing w:after="60" w:before="60"/>
              <w:jc w:val="left"/>
            </w:pPr>
            <w:r>
              <w:rPr>
                <w:rFonts w:ascii="DIN Next LT Arabic Light" w:hAnsi="DIN Next LT Arabic Light" w:cs="DIN Next LT Arabic Light" w:eastAsia="DIN Next LT Arabic Light"/>
                <w:color w:val="173A46"/>
                <w:sz w:val="18"/>
                <w:szCs w:val="18"/>
              </w:rPr>
              <w:t>21</w:t>
            </w:r>
          </w:p>
        </w:tc>
        <w:tc>
          <w:tcPr>
            <w:tcW w:type="dxa" w:w="1872"/>
          </w:tcPr>
          <w:p>
            <w:pPr>
              <w:bidi/>
              <w:spacing w:after="60" w:before="60"/>
              <w:jc w:val="left"/>
            </w:pPr>
            <w:r>
              <w:rPr>
                <w:rFonts w:ascii="DIN Next LT Arabic Light" w:hAnsi="DIN Next LT Arabic Light" w:cs="DIN Next LT Arabic Light" w:eastAsia="DIN Next LT Arabic Light"/>
                <w:color w:val="173A46"/>
                <w:sz w:val="18"/>
                <w:szCs w:val="18"/>
              </w:rPr>
              <w:t>الخطة الشهرية</w:t>
            </w:r>
          </w:p>
        </w:tc>
        <w:tc>
          <w:tcPr>
            <w:tcW w:type="dxa" w:w="4968"/>
          </w:tcPr>
          <w:p>
            <w:pPr>
              <w:bidi/>
              <w:spacing w:after="60" w:before="60"/>
              <w:jc w:val="left"/>
            </w:pPr>
            <w:r>
              <w:rPr>
                <w:rFonts w:ascii="DIN Next LT Arabic Light" w:hAnsi="DIN Next LT Arabic Light" w:cs="DIN Next LT Arabic Light" w:eastAsia="DIN Next LT Arabic Light"/>
                <w:color w:val="173A46"/>
                <w:sz w:val="18"/>
                <w:szCs w:val="18"/>
              </w:rPr>
              <w:t>نقد وافتتاحات ودفعات واسترداد أصل</w:t>
            </w:r>
          </w:p>
        </w:tc>
        <w:tc>
          <w:tcPr>
            <w:tcW w:type="dxa" w:w="2304"/>
          </w:tcPr>
          <w:p>
            <w:pPr>
              <w:bidi/>
              <w:spacing w:after="60" w:before="60"/>
              <w:jc w:val="left"/>
            </w:pPr>
            <w:r>
              <w:rPr>
                <w:rFonts w:ascii="DIN Next LT Arabic Light" w:hAnsi="DIN Next LT Arabic Light" w:cs="DIN Next LT Arabic Light" w:eastAsia="DIN Next LT Arabic Light"/>
                <w:color w:val="173A46"/>
                <w:sz w:val="18"/>
                <w:szCs w:val="18"/>
              </w:rPr>
              <w:t>المالية</w:t>
            </w:r>
          </w:p>
        </w:tc>
      </w:tr>
      <w:tr>
        <w:trPr>
          <w:cantSplit/>
        </w:trPr>
        <w:tc>
          <w:tcPr>
            <w:tcW w:type="dxa" w:w="720"/>
            <w:shd w:fill="F0F6F6"/>
          </w:tcPr>
          <w:p>
            <w:pPr>
              <w:bidi/>
              <w:spacing w:after="60" w:before="60"/>
              <w:jc w:val="left"/>
            </w:pPr>
            <w:r>
              <w:rPr>
                <w:rFonts w:ascii="DIN Next LT Arabic Light" w:hAnsi="DIN Next LT Arabic Light" w:cs="DIN Next LT Arabic Light" w:eastAsia="DIN Next LT Arabic Light"/>
                <w:color w:val="173A46"/>
                <w:sz w:val="18"/>
                <w:szCs w:val="18"/>
              </w:rPr>
              <w:t>22</w:t>
            </w:r>
          </w:p>
        </w:tc>
        <w:tc>
          <w:tcPr>
            <w:tcW w:type="dxa" w:w="1872"/>
            <w:shd w:fill="F0F6F6"/>
          </w:tcPr>
          <w:p>
            <w:pPr>
              <w:bidi/>
              <w:spacing w:after="60" w:before="60"/>
              <w:jc w:val="left"/>
            </w:pPr>
            <w:r>
              <w:rPr>
                <w:rFonts w:ascii="DIN Next LT Arabic Light" w:hAnsi="DIN Next LT Arabic Light" w:cs="DIN Next LT Arabic Light" w:eastAsia="DIN Next LT Arabic Light"/>
                <w:color w:val="173A46"/>
                <w:sz w:val="18"/>
                <w:szCs w:val="18"/>
              </w:rPr>
              <w:t>التوظيف والجودة</w:t>
            </w:r>
          </w:p>
        </w:tc>
        <w:tc>
          <w:tcPr>
            <w:tcW w:type="dxa" w:w="4968"/>
            <w:shd w:fill="F0F6F6"/>
          </w:tcPr>
          <w:p>
            <w:pPr>
              <w:bidi/>
              <w:spacing w:after="60" w:before="60"/>
              <w:jc w:val="left"/>
            </w:pPr>
            <w:r>
              <w:rPr>
                <w:rFonts w:ascii="DIN Next LT Arabic Light" w:hAnsi="DIN Next LT Arabic Light" w:cs="DIN Next LT Arabic Light" w:eastAsia="DIN Next LT Arabic Light"/>
                <w:color w:val="173A46"/>
                <w:sz w:val="18"/>
                <w:szCs w:val="18"/>
              </w:rPr>
              <w:t>مؤهلات وتدريب ودليل تشغيل</w:t>
            </w:r>
          </w:p>
        </w:tc>
        <w:tc>
          <w:tcPr>
            <w:tcW w:type="dxa" w:w="2304"/>
            <w:shd w:fill="F0F6F6"/>
          </w:tcPr>
          <w:p>
            <w:pPr>
              <w:bidi/>
              <w:spacing w:after="60" w:before="60"/>
              <w:jc w:val="left"/>
            </w:pPr>
            <w:r>
              <w:rPr>
                <w:rFonts w:ascii="DIN Next LT Arabic Light" w:hAnsi="DIN Next LT Arabic Light" w:cs="DIN Next LT Arabic Light" w:eastAsia="DIN Next LT Arabic Light"/>
                <w:color w:val="173A46"/>
                <w:sz w:val="18"/>
                <w:szCs w:val="18"/>
              </w:rPr>
              <w:t>الموارد والتشغيل</w:t>
            </w:r>
          </w:p>
        </w:tc>
      </w:tr>
      <w:tr>
        <w:trPr>
          <w:cantSplit/>
        </w:trPr>
        <w:tc>
          <w:tcPr>
            <w:tcW w:type="dxa" w:w="720"/>
          </w:tcPr>
          <w:p>
            <w:pPr>
              <w:bidi/>
              <w:spacing w:after="60" w:before="60"/>
              <w:jc w:val="left"/>
            </w:pPr>
            <w:r>
              <w:rPr>
                <w:rFonts w:ascii="DIN Next LT Arabic Light" w:hAnsi="DIN Next LT Arabic Light" w:cs="DIN Next LT Arabic Light" w:eastAsia="DIN Next LT Arabic Light"/>
                <w:color w:val="173A46"/>
                <w:sz w:val="18"/>
                <w:szCs w:val="18"/>
              </w:rPr>
              <w:t>23</w:t>
            </w:r>
          </w:p>
        </w:tc>
        <w:tc>
          <w:tcPr>
            <w:tcW w:type="dxa" w:w="1872"/>
          </w:tcPr>
          <w:p>
            <w:pPr>
              <w:bidi/>
              <w:spacing w:after="60" w:before="60"/>
              <w:jc w:val="left"/>
            </w:pPr>
            <w:r>
              <w:rPr>
                <w:rFonts w:ascii="DIN Next LT Arabic Light" w:hAnsi="DIN Next LT Arabic Light" w:cs="DIN Next LT Arabic Light" w:eastAsia="DIN Next LT Arabic Light"/>
                <w:color w:val="173A46"/>
                <w:sz w:val="18"/>
                <w:szCs w:val="18"/>
              </w:rPr>
              <w:t>الضريبة والمحاسبة</w:t>
            </w:r>
          </w:p>
        </w:tc>
        <w:tc>
          <w:tcPr>
            <w:tcW w:type="dxa" w:w="4968"/>
          </w:tcPr>
          <w:p>
            <w:pPr>
              <w:bidi/>
              <w:spacing w:after="60" w:before="60"/>
              <w:jc w:val="left"/>
            </w:pPr>
            <w:r>
              <w:rPr>
                <w:rFonts w:ascii="DIN Next LT Arabic Light" w:hAnsi="DIN Next LT Arabic Light" w:cs="DIN Next LT Arabic Light" w:eastAsia="DIN Next LT Arabic Light"/>
                <w:color w:val="173A46"/>
                <w:sz w:val="18"/>
                <w:szCs w:val="18"/>
              </w:rPr>
              <w:t>معالجة الأنشطة والحقوق والإيراد والتكلفة</w:t>
            </w:r>
          </w:p>
        </w:tc>
        <w:tc>
          <w:tcPr>
            <w:tcW w:type="dxa" w:w="2304"/>
          </w:tcPr>
          <w:p>
            <w:pPr>
              <w:bidi/>
              <w:spacing w:after="60" w:before="60"/>
              <w:jc w:val="left"/>
            </w:pPr>
            <w:r>
              <w:rPr>
                <w:rFonts w:ascii="DIN Next LT Arabic Light" w:hAnsi="DIN Next LT Arabic Light" w:cs="DIN Next LT Arabic Light" w:eastAsia="DIN Next LT Arabic Light"/>
                <w:color w:val="173A46"/>
                <w:sz w:val="18"/>
                <w:szCs w:val="18"/>
              </w:rPr>
              <w:t>المالية</w:t>
            </w:r>
          </w:p>
        </w:tc>
      </w:tr>
      <w:tr>
        <w:trPr>
          <w:cantSplit/>
        </w:trPr>
        <w:tc>
          <w:tcPr>
            <w:tcW w:type="dxa" w:w="720"/>
            <w:shd w:fill="F0F6F6"/>
          </w:tcPr>
          <w:p>
            <w:pPr>
              <w:bidi/>
              <w:spacing w:after="60" w:before="60"/>
              <w:jc w:val="left"/>
            </w:pPr>
            <w:r>
              <w:rPr>
                <w:rFonts w:ascii="DIN Next LT Arabic Light" w:hAnsi="DIN Next LT Arabic Light" w:cs="DIN Next LT Arabic Light" w:eastAsia="DIN Next LT Arabic Light"/>
                <w:color w:val="173A46"/>
                <w:sz w:val="18"/>
                <w:szCs w:val="18"/>
              </w:rPr>
              <w:t>24</w:t>
            </w:r>
          </w:p>
        </w:tc>
        <w:tc>
          <w:tcPr>
            <w:tcW w:type="dxa" w:w="1872"/>
            <w:shd w:fill="F0F6F6"/>
          </w:tcPr>
          <w:p>
            <w:pPr>
              <w:bidi/>
              <w:spacing w:after="60" w:before="60"/>
              <w:jc w:val="left"/>
            </w:pPr>
            <w:r>
              <w:rPr>
                <w:rFonts w:ascii="DIN Next LT Arabic Light" w:hAnsi="DIN Next LT Arabic Light" w:cs="DIN Next LT Arabic Light" w:eastAsia="DIN Next LT Arabic Light"/>
                <w:color w:val="173A46"/>
                <w:sz w:val="18"/>
                <w:szCs w:val="18"/>
              </w:rPr>
              <w:t>بوابة المستثمر</w:t>
            </w:r>
          </w:p>
        </w:tc>
        <w:tc>
          <w:tcPr>
            <w:tcW w:type="dxa" w:w="4968"/>
            <w:shd w:fill="F0F6F6"/>
          </w:tcPr>
          <w:p>
            <w:pPr>
              <w:bidi/>
              <w:spacing w:after="60" w:before="60"/>
              <w:jc w:val="left"/>
            </w:pPr>
            <w:r>
              <w:rPr>
                <w:rFonts w:ascii="DIN Next LT Arabic Light" w:hAnsi="DIN Next LT Arabic Light" w:cs="DIN Next LT Arabic Light" w:eastAsia="DIN Next LT Arabic Light"/>
                <w:color w:val="173A46"/>
                <w:sz w:val="18"/>
                <w:szCs w:val="18"/>
              </w:rPr>
              <w:t>روابط وتصاميم وفيديوهات ونسخ معتمدة</w:t>
            </w:r>
          </w:p>
        </w:tc>
        <w:tc>
          <w:tcPr>
            <w:tcW w:type="dxa" w:w="2304"/>
            <w:shd w:fill="F0F6F6"/>
          </w:tcPr>
          <w:p>
            <w:pPr>
              <w:bidi/>
              <w:spacing w:after="60" w:before="60"/>
              <w:jc w:val="left"/>
            </w:pPr>
            <w:r>
              <w:rPr>
                <w:rFonts w:ascii="DIN Next LT Arabic Light" w:hAnsi="DIN Next LT Arabic Light" w:cs="DIN Next LT Arabic Light" w:eastAsia="DIN Next LT Arabic Light"/>
                <w:color w:val="173A46"/>
                <w:sz w:val="18"/>
                <w:szCs w:val="18"/>
              </w:rPr>
              <w:t>الإدارة والتصميم</w:t>
            </w:r>
          </w:p>
        </w:tc>
      </w:tr>
    </w:tbl>
    <w:p>
      <w:pPr>
        <w:spacing w:after="0"/>
      </w:pPr>
    </w:p>
    <w:p>
      <w:pPr>
        <w:bidi/>
        <w:jc w:val="left"/>
        <w:shd w:fill="EAF5F4"/>
      </w:pPr>
      <w:r>
        <w:rPr>
          <w:rFonts w:ascii="DIN Next LT Arabic Light" w:hAnsi="DIN Next LT Arabic Light" w:cs="DIN Next LT Arabic Light" w:eastAsia="DIN Next LT Arabic Light"/>
          <w:color w:val="173A46"/>
          <w:sz w:val="18"/>
          <w:szCs w:val="18"/>
        </w:rPr>
        <w:t>استلام المستند لا يعني قبول نتيجة الفحص. سجل Data Room يفرق الملفات المستلمة عن العقود والإثباتات المطلوبة، والفيديوهات و3D عن التصاميم المنشورة.</w:t>
      </w:r>
    </w:p>
    <w:p>
      <w:r>
        <w:br w:type="page"/>
      </w:r>
    </w:p>
    <w:p>
      <w:pPr>
        <w:pStyle w:val="Heading1"/>
        <w:bidi/>
        <w:jc w:val="left"/>
      </w:pPr>
      <w:r>
        <w:rPr>
          <w:rFonts w:ascii="DIN Next LT Arabic Medium" w:hAnsi="DIN Next LT Arabic Medium" w:cs="DIN Next LT Arabic Medium" w:eastAsia="DIN Next LT Arabic Medium"/>
          <w:color w:val="173A46"/>
          <w:sz w:val="46"/>
          <w:szCs w:val="46"/>
        </w:rPr>
        <w:t>جاهزية الشركات والشركاء</w:t>
      </w:r>
    </w:p>
    <w:tbl>
      <w:tblPr>
        <w:tblW w:type="auto" w:w="0"/>
        <w:jc w:val="center"/>
        <w:tblLook w:firstColumn="1" w:firstRow="1" w:lastColumn="0" w:lastRow="0" w:noHBand="0" w:noVBand="1" w:val="04A0"/>
      </w:tblPr>
      <w:tblGrid>
        <w:gridCol w:w="1687"/>
        <w:gridCol w:w="1687"/>
        <w:gridCol w:w="1687"/>
        <w:gridCol w:w="1687"/>
        <w:gridCol w:w="1687"/>
        <w:gridCol w:w="1687"/>
      </w:tblGrid>
      <w:tr>
        <w:tc>
          <w:tcPr>
            <w:tcW w:type="dxa" w:w="1687"/>
          </w:tcPr>
          <w:p>
            <w:r>
              <w:drawing>
                <wp:inline xmlns:a="http://schemas.openxmlformats.org/drawingml/2006/main" xmlns:pic="http://schemas.openxmlformats.org/drawingml/2006/picture">
                  <wp:extent cx="859536" cy="447527"/>
                  <wp:docPr id="2" name="Picture 2"/>
                  <wp:cNvGraphicFramePr>
                    <a:graphicFrameLocks noChangeAspect="1"/>
                  </wp:cNvGraphicFramePr>
                  <a:graphic>
                    <a:graphicData uri="http://schemas.openxmlformats.org/drawingml/2006/picture">
                      <pic:pic>
                        <pic:nvPicPr>
                          <pic:cNvPr id="0" name="jeel.png"/>
                          <pic:cNvPicPr/>
                        </pic:nvPicPr>
                        <pic:blipFill>
                          <a:blip r:embed="rId12"/>
                          <a:stretch>
                            <a:fillRect/>
                          </a:stretch>
                        </pic:blipFill>
                        <pic:spPr>
                          <a:xfrm>
                            <a:off x="0" y="0"/>
                            <a:ext cx="859536" cy="447527"/>
                          </a:xfrm>
                          <a:prstGeom prst="rect"/>
                        </pic:spPr>
                      </pic:pic>
                    </a:graphicData>
                  </a:graphic>
                </wp:inline>
              </w:drawing>
            </w:r>
          </w:p>
        </w:tc>
        <w:tc>
          <w:tcPr>
            <w:tcW w:type="dxa" w:w="1687"/>
          </w:tcPr>
          <w:p>
            <w:r>
              <w:drawing>
                <wp:inline xmlns:a="http://schemas.openxmlformats.org/drawingml/2006/main" xmlns:pic="http://schemas.openxmlformats.org/drawingml/2006/picture">
                  <wp:extent cx="859536" cy="435074"/>
                  <wp:docPr id="3" name="Picture 3"/>
                  <wp:cNvGraphicFramePr>
                    <a:graphicFrameLocks noChangeAspect="1"/>
                  </wp:cNvGraphicFramePr>
                  <a:graphic>
                    <a:graphicData uri="http://schemas.openxmlformats.org/drawingml/2006/picture">
                      <pic:pic>
                        <pic:nvPicPr>
                          <pic:cNvPr id="0" name="aldenham.png"/>
                          <pic:cNvPicPr/>
                        </pic:nvPicPr>
                        <pic:blipFill>
                          <a:blip r:embed="rId13"/>
                          <a:stretch>
                            <a:fillRect/>
                          </a:stretch>
                        </pic:blipFill>
                        <pic:spPr>
                          <a:xfrm>
                            <a:off x="0" y="0"/>
                            <a:ext cx="859536" cy="435074"/>
                          </a:xfrm>
                          <a:prstGeom prst="rect"/>
                        </pic:spPr>
                      </pic:pic>
                    </a:graphicData>
                  </a:graphic>
                </wp:inline>
              </w:drawing>
            </w:r>
          </w:p>
        </w:tc>
        <w:tc>
          <w:tcPr>
            <w:tcW w:type="dxa" w:w="1687"/>
          </w:tcPr>
          <w:p>
            <w:r>
              <w:drawing>
                <wp:inline xmlns:a="http://schemas.openxmlformats.org/drawingml/2006/main" xmlns:pic="http://schemas.openxmlformats.org/drawingml/2006/picture">
                  <wp:extent cx="859536" cy="859536"/>
                  <wp:docPr id="4" name="Picture 4"/>
                  <wp:cNvGraphicFramePr>
                    <a:graphicFrameLocks noChangeAspect="1"/>
                  </wp:cNvGraphicFramePr>
                  <a:graphic>
                    <a:graphicData uri="http://schemas.openxmlformats.org/drawingml/2006/picture">
                      <pic:pic>
                        <pic:nvPicPr>
                          <pic:cNvPr id="0" name="vision7.png"/>
                          <pic:cNvPicPr/>
                        </pic:nvPicPr>
                        <pic:blipFill>
                          <a:blip r:embed="rId14"/>
                          <a:stretch>
                            <a:fillRect/>
                          </a:stretch>
                        </pic:blipFill>
                        <pic:spPr>
                          <a:xfrm>
                            <a:off x="0" y="0"/>
                            <a:ext cx="859536" cy="859536"/>
                          </a:xfrm>
                          <a:prstGeom prst="rect"/>
                        </pic:spPr>
                      </pic:pic>
                    </a:graphicData>
                  </a:graphic>
                </wp:inline>
              </w:drawing>
            </w:r>
          </w:p>
        </w:tc>
        <w:tc>
          <w:tcPr>
            <w:tcW w:type="dxa" w:w="1687"/>
          </w:tcPr>
          <w:p>
            <w:r>
              <w:drawing>
                <wp:inline xmlns:a="http://schemas.openxmlformats.org/drawingml/2006/main" xmlns:pic="http://schemas.openxmlformats.org/drawingml/2006/picture">
                  <wp:extent cx="859536" cy="839071"/>
                  <wp:docPr id="5" name="Picture 5"/>
                  <wp:cNvGraphicFramePr>
                    <a:graphicFrameLocks noChangeAspect="1"/>
                  </wp:cNvGraphicFramePr>
                  <a:graphic>
                    <a:graphicData uri="http://schemas.openxmlformats.org/drawingml/2006/picture">
                      <pic:pic>
                        <pic:nvPicPr>
                          <pic:cNvPr id="0" name="king-salman-oasis.png"/>
                          <pic:cNvPicPr/>
                        </pic:nvPicPr>
                        <pic:blipFill>
                          <a:blip r:embed="rId15"/>
                          <a:stretch>
                            <a:fillRect/>
                          </a:stretch>
                        </pic:blipFill>
                        <pic:spPr>
                          <a:xfrm>
                            <a:off x="0" y="0"/>
                            <a:ext cx="859536" cy="839071"/>
                          </a:xfrm>
                          <a:prstGeom prst="rect"/>
                        </pic:spPr>
                      </pic:pic>
                    </a:graphicData>
                  </a:graphic>
                </wp:inline>
              </w:drawing>
            </w:r>
          </w:p>
        </w:tc>
        <w:tc>
          <w:tcPr>
            <w:tcW w:type="dxa" w:w="1687"/>
          </w:tcPr>
          <w:p>
            <w:r>
              <w:drawing>
                <wp:inline xmlns:a="http://schemas.openxmlformats.org/drawingml/2006/main" xmlns:pic="http://schemas.openxmlformats.org/drawingml/2006/picture">
                  <wp:extent cx="859536" cy="315938"/>
                  <wp:docPr id="6" name="Picture 6"/>
                  <wp:cNvGraphicFramePr>
                    <a:graphicFrameLocks noChangeAspect="1"/>
                  </wp:cNvGraphicFramePr>
                  <a:graphic>
                    <a:graphicData uri="http://schemas.openxmlformats.org/drawingml/2006/picture">
                      <pic:pic>
                        <pic:nvPicPr>
                          <pic:cNvPr id="0" name="little-inventor.png"/>
                          <pic:cNvPicPr/>
                        </pic:nvPicPr>
                        <pic:blipFill>
                          <a:blip r:embed="rId16"/>
                          <a:stretch>
                            <a:fillRect/>
                          </a:stretch>
                        </pic:blipFill>
                        <pic:spPr>
                          <a:xfrm>
                            <a:off x="0" y="0"/>
                            <a:ext cx="859536" cy="315938"/>
                          </a:xfrm>
                          <a:prstGeom prst="rect"/>
                        </pic:spPr>
                      </pic:pic>
                    </a:graphicData>
                  </a:graphic>
                </wp:inline>
              </w:drawing>
            </w:r>
          </w:p>
        </w:tc>
        <w:tc>
          <w:tcPr>
            <w:tcW w:type="dxa" w:w="1687"/>
          </w:tcPr>
          <w:p>
            <w:r>
              <w:drawing>
                <wp:inline xmlns:a="http://schemas.openxmlformats.org/drawingml/2006/main" xmlns:pic="http://schemas.openxmlformats.org/drawingml/2006/picture">
                  <wp:extent cx="859536" cy="827701"/>
                  <wp:docPr id="7" name="Picture 7"/>
                  <wp:cNvGraphicFramePr>
                    <a:graphicFrameLocks noChangeAspect="1"/>
                  </wp:cNvGraphicFramePr>
                  <a:graphic>
                    <a:graphicData uri="http://schemas.openxmlformats.org/drawingml/2006/picture">
                      <pic:pic>
                        <pic:nvPicPr>
                          <pic:cNvPr id="0" name="childhorizon-cec.png"/>
                          <pic:cNvPicPr/>
                        </pic:nvPicPr>
                        <pic:blipFill>
                          <a:blip r:embed="rId17"/>
                          <a:stretch>
                            <a:fillRect/>
                          </a:stretch>
                        </pic:blipFill>
                        <pic:spPr>
                          <a:xfrm>
                            <a:off x="0" y="0"/>
                            <a:ext cx="859536" cy="827701"/>
                          </a:xfrm>
                          <a:prstGeom prst="rect"/>
                        </pic:spPr>
                      </pic:pic>
                    </a:graphicData>
                  </a:graphic>
                </wp:inline>
              </w:drawing>
            </w:r>
          </w:p>
        </w:tc>
      </w:tr>
    </w:tbl>
    <w:tbl>
      <w:tblPr>
        <w:tblW w:type="auto" w:w="0"/>
        <w:jc w:val="center"/>
        <w:tblLayout w:type="autofit"/>
        <w:tblLook w:firstColumn="1" w:firstRow="1" w:lastColumn="0" w:lastRow="0" w:noHBand="0" w:noVBand="1" w:val="04A0"/>
        <w:bidiVisual/>
      </w:tblPr>
      <w:tblGrid>
        <w:gridCol w:w="3374"/>
        <w:gridCol w:w="3374"/>
        <w:gridCol w:w="3374"/>
      </w:tblGrid>
      <w:tr>
        <w:trPr>
          <w:cantSplit/>
        </w:trPr>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الشركة</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الجاهزية وفق الإدارة</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الإطلاق المستهدف من 6 أكتوبر</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Moments</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بدأت كمشروع؛ مناسبات ورحلات وتخرج</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20 يومًا: 26 أكتوبر 2026</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MONTESTEAM</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موقع الأكاديمية في جاكس، المنتسوري العربي، هيرو MMI</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35 يومًا: 10 نوفمبر 2026</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EduMind</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عقد جيل؛ الدنهام للموسيقى؛ فيجين 7 للرياضة؛ برنامج منشآت</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60 يومًا: 5 ديسمبر 2026</w:t>
            </w:r>
          </w:p>
        </w:tc>
      </w:tr>
    </w:tbl>
    <w:p>
      <w:pPr>
        <w:spacing w:after="0"/>
      </w:pPr>
    </w:p>
    <w:p>
      <w:pPr>
        <w:bidi/>
        <w:jc w:val="left"/>
      </w:pPr>
      <w:r>
        <w:rPr>
          <w:rFonts w:ascii="DIN Next LT Arabic Light" w:hAnsi="DIN Next LT Arabic Light" w:cs="DIN Next LT Arabic Light" w:eastAsia="DIN Next LT Arabic Light"/>
          <w:color w:val="173A46"/>
          <w:sz w:val="21"/>
          <w:szCs w:val="21"/>
        </w:rPr>
        <w:t>مواعيد مستهدفة وليست دليل إطلاق محقق. تفعيل الشركاء في المواقع يتبع نطاق الاتفاق والحقوق والرسوم والقدرة التشغيلية. واجهات التطبيقات المعروضة تجريبية؛ إثبات الإيراد بطلب مدفوع وتحصيل.</w:t>
      </w:r>
    </w:p>
    <w:tbl>
      <w:tblPr>
        <w:tblW w:type="auto" w:w="0"/>
        <w:jc w:val="center"/>
        <w:tblLayout w:type="autofit"/>
        <w:tblLook w:firstColumn="1" w:firstRow="1" w:lastColumn="0" w:lastRow="0" w:noHBand="0" w:noVBand="1" w:val="04A0"/>
        <w:bidiVisual/>
      </w:tblPr>
      <w:tblGrid>
        <w:gridCol w:w="5061"/>
        <w:gridCol w:w="5061"/>
      </w:tblGrid>
      <w:tr>
        <w:trPr>
          <w:cantSplit/>
        </w:trPr>
        <w:tc>
          <w:tcPr>
            <w:tcW w:type="dxa" w:w="5061"/>
            <w:shd w:fill="073B4A"/>
          </w:tcPr>
          <w:p>
            <w:pPr>
              <w:bidi/>
              <w:jc w:val="left"/>
            </w:pPr>
            <w:r>
              <w:rPr>
                <w:rFonts w:ascii="DIN Next LT Arabic Medium" w:hAnsi="DIN Next LT Arabic Medium" w:cs="DIN Next LT Arabic Medium" w:eastAsia="DIN Next LT Arabic Medium"/>
                <w:color w:val="FFFFFF"/>
                <w:sz w:val="18"/>
                <w:szCs w:val="18"/>
              </w:rPr>
              <w:t>دليل الجاهزية</w:t>
            </w:r>
          </w:p>
        </w:tc>
        <w:tc>
          <w:tcPr>
            <w:tcW w:type="dxa" w:w="5061"/>
            <w:shd w:fill="073B4A"/>
          </w:tcPr>
          <w:p>
            <w:pPr>
              <w:bidi/>
              <w:jc w:val="left"/>
            </w:pPr>
            <w:r>
              <w:rPr>
                <w:rFonts w:ascii="DIN Next LT Arabic Medium" w:hAnsi="DIN Next LT Arabic Medium" w:cs="DIN Next LT Arabic Medium" w:eastAsia="DIN Next LT Arabic Medium"/>
                <w:color w:val="FFFFFF"/>
                <w:sz w:val="18"/>
                <w:szCs w:val="18"/>
              </w:rPr>
              <w:t>المطلوب</w:t>
            </w:r>
          </w:p>
        </w:tc>
      </w:tr>
      <w:tr>
        <w:trPr>
          <w:cantSplit/>
        </w:trPr>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التقنية</w:t>
            </w:r>
          </w:p>
        </w:tc>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اختبار دفع وأمن وحقوق كود وحسابات تشغيل</w:t>
            </w:r>
          </w:p>
        </w:tc>
      </w:tr>
      <w:tr>
        <w:trPr>
          <w:cantSplit/>
        </w:trPr>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الأكاديمية</w:t>
            </w:r>
          </w:p>
        </w:tc>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ترخيص ونطاق شهادات واعتماد ومؤهلات</w:t>
            </w:r>
          </w:p>
        </w:tc>
      </w:tr>
      <w:tr>
        <w:trPr>
          <w:cantSplit/>
        </w:trPr>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المرافق</w:t>
            </w:r>
          </w:p>
        </w:tc>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اتفاق تشغيل وجدول وتسعير ومسؤوليات</w:t>
            </w:r>
          </w:p>
        </w:tc>
      </w:tr>
      <w:tr>
        <w:trPr>
          <w:cantSplit/>
        </w:trPr>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المبيعات</w:t>
            </w:r>
          </w:p>
        </w:tc>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اختبار خدمة وطلب مدفوع وتكرار شراء</w:t>
            </w:r>
          </w:p>
        </w:tc>
      </w:tr>
    </w:tbl>
    <w:p>
      <w:pPr>
        <w:spacing w:after="0"/>
      </w:pPr>
    </w:p>
    <w:p>
      <w:r>
        <w:br w:type="page"/>
      </w:r>
    </w:p>
    <w:p>
      <w:pPr>
        <w:pStyle w:val="Heading1"/>
        <w:bidi/>
        <w:jc w:val="left"/>
      </w:pPr>
      <w:r>
        <w:rPr>
          <w:rFonts w:ascii="DIN Next LT Arabic Medium" w:hAnsi="DIN Next LT Arabic Medium" w:cs="DIN Next LT Arabic Medium" w:eastAsia="DIN Next LT Arabic Medium"/>
          <w:color w:val="173A46"/>
          <w:sz w:val="46"/>
          <w:szCs w:val="46"/>
        </w:rPr>
        <w:t>أسئلة المستثمر وإجابات محددة</w:t>
      </w:r>
    </w:p>
    <w:p>
      <w:pPr>
        <w:pStyle w:val="Heading2"/>
        <w:bidi/>
        <w:jc w:val="left"/>
      </w:pPr>
      <w:r>
        <w:rPr>
          <w:rFonts w:ascii="DIN Next LT Arabic Medium" w:hAnsi="DIN Next LT Arabic Medium" w:cs="DIN Next LT Arabic Medium" w:eastAsia="DIN Next LT Arabic Medium"/>
          <w:color w:val="008B99"/>
          <w:sz w:val="26"/>
          <w:szCs w:val="26"/>
        </w:rPr>
        <w:t>لماذا تختلف عن تجربة After School السابقة؟</w:t>
      </w:r>
    </w:p>
    <w:p>
      <w:pPr>
        <w:bidi/>
        <w:jc w:val="left"/>
      </w:pPr>
      <w:r>
        <w:rPr>
          <w:rFonts w:ascii="DIN Next LT Arabic Light" w:hAnsi="DIN Next LT Arabic Light" w:cs="DIN Next LT Arabic Light" w:eastAsia="DIN Next LT Arabic Light"/>
          <w:color w:val="173A46"/>
          <w:sz w:val="21"/>
          <w:szCs w:val="21"/>
        </w:rPr>
        <w:t>IPs وشركاء وخدمات متعددة، ودخل مدارس وجهات ومناسبات وبري سكول. قرار التوسع يتبع تكرار الشراء والهامش والتحصيل الفعلي، مع قياس كل برنامج.</w:t>
      </w:r>
    </w:p>
    <w:p>
      <w:pPr>
        <w:pStyle w:val="Heading2"/>
        <w:bidi/>
        <w:jc w:val="left"/>
      </w:pPr>
      <w:r>
        <w:rPr>
          <w:rFonts w:ascii="DIN Next LT Arabic Medium" w:hAnsi="DIN Next LT Arabic Medium" w:cs="DIN Next LT Arabic Medium" w:eastAsia="DIN Next LT Arabic Medium"/>
          <w:color w:val="008B99"/>
          <w:sz w:val="26"/>
          <w:szCs w:val="26"/>
        </w:rPr>
        <w:t>كيف نعالج الإيجار؟</w:t>
      </w:r>
    </w:p>
    <w:p>
      <w:pPr>
        <w:bidi/>
        <w:jc w:val="left"/>
      </w:pPr>
      <w:r>
        <w:rPr>
          <w:rFonts w:ascii="DIN Next LT Arabic Light" w:hAnsi="DIN Next LT Arabic Light" w:cs="DIN Next LT Arabic Light" w:eastAsia="DIN Next LT Arabic Light"/>
          <w:color w:val="173A46"/>
          <w:sz w:val="21"/>
          <w:szCs w:val="21"/>
        </w:rPr>
        <w:t>نقارن الثابت بالحصة والحد الأدنى لكل موقع. تكية بحر ومسار مكة يستخدمان مشاركة مفترضة؛ توجد إيجارات في مواقع أخرى. العقد النهائي يثبت الالتزام.</w:t>
      </w:r>
    </w:p>
    <w:p>
      <w:pPr>
        <w:pStyle w:val="Heading2"/>
        <w:bidi/>
        <w:jc w:val="left"/>
      </w:pPr>
      <w:r>
        <w:rPr>
          <w:rFonts w:ascii="DIN Next LT Arabic Medium" w:hAnsi="DIN Next LT Arabic Medium" w:cs="DIN Next LT Arabic Medium" w:eastAsia="DIN Next LT Arabic Medium"/>
          <w:color w:val="008B99"/>
          <w:sz w:val="26"/>
          <w:szCs w:val="26"/>
        </w:rPr>
        <w:t>ماذا يثبت نيوهورايزون؟</w:t>
      </w:r>
    </w:p>
    <w:p>
      <w:pPr>
        <w:bidi/>
        <w:jc w:val="left"/>
      </w:pPr>
      <w:r>
        <w:rPr>
          <w:rFonts w:ascii="DIN Next LT Arabic Light" w:hAnsi="DIN Next LT Arabic Light" w:cs="DIN Next LT Arabic Light" w:eastAsia="DIN Next LT Arabic Light"/>
          <w:color w:val="173A46"/>
          <w:sz w:val="21"/>
          <w:szCs w:val="21"/>
        </w:rPr>
        <w:t>تمويل مجتمعي سابق 1.5 مليون للساحة والتكية، مع توزيع محدث 1.26 / 0.24. يطابق بالاتفاق والتحويل؛ لا يثبت ربحًا أو استردادًا.</w:t>
      </w:r>
    </w:p>
    <w:p>
      <w:pPr>
        <w:pStyle w:val="Heading2"/>
        <w:bidi/>
        <w:jc w:val="left"/>
      </w:pPr>
      <w:r>
        <w:rPr>
          <w:rFonts w:ascii="DIN Next LT Arabic Medium" w:hAnsi="DIN Next LT Arabic Medium" w:cs="DIN Next LT Arabic Medium" w:eastAsia="DIN Next LT Arabic Medium"/>
          <w:color w:val="008B99"/>
          <w:sz w:val="26"/>
          <w:szCs w:val="26"/>
        </w:rPr>
        <w:t>لماذا سبعة ملايين لـWOO بدل 5.60؟</w:t>
      </w:r>
    </w:p>
    <w:p>
      <w:pPr>
        <w:bidi/>
        <w:jc w:val="left"/>
      </w:pPr>
      <w:r>
        <w:rPr>
          <w:rFonts w:ascii="DIN Next LT Arabic Light" w:hAnsi="DIN Next LT Arabic Light" w:cs="DIN Next LT Arabic Light" w:eastAsia="DIN Next LT Arabic Light"/>
          <w:color w:val="173A46"/>
          <w:sz w:val="21"/>
          <w:szCs w:val="21"/>
        </w:rPr>
        <w:t>جسر محافظ للحقوق واسترداد الأصل وحسم التشغيل وVAT دون تكرار احتياطي المصدر. يعتمد الصرف على النقد الشهري والدفعات، لا على الجسر السنوي وحده.</w:t>
      </w:r>
    </w:p>
    <w:p>
      <w:pPr>
        <w:pStyle w:val="Heading2"/>
        <w:bidi/>
        <w:jc w:val="left"/>
      </w:pPr>
      <w:r>
        <w:rPr>
          <w:rFonts w:ascii="DIN Next LT Arabic Medium" w:hAnsi="DIN Next LT Arabic Medium" w:cs="DIN Next LT Arabic Medium" w:eastAsia="DIN Next LT Arabic Medium"/>
          <w:color w:val="008B99"/>
          <w:sz w:val="26"/>
          <w:szCs w:val="26"/>
        </w:rPr>
        <w:t>هل التطبيقات أطلقت وهل العائد مضمون؟</w:t>
      </w:r>
    </w:p>
    <w:p>
      <w:pPr>
        <w:bidi/>
        <w:jc w:val="left"/>
      </w:pPr>
      <w:r>
        <w:rPr>
          <w:rFonts w:ascii="DIN Next LT Arabic Light" w:hAnsi="DIN Next LT Arabic Light" w:cs="DIN Next LT Arabic Light" w:eastAsia="DIN Next LT Arabic Light"/>
          <w:color w:val="173A46"/>
          <w:sz w:val="21"/>
          <w:szCs w:val="21"/>
        </w:rPr>
        <w:t>الإطلاق مستهدف والواجهات تجريبية. العائد مبني على افتراضات وحقوق ونقد وخروج محتمل. لا توزيع للمستثمر في السنة الأولى بالحالة الأساسية.</w:t>
      </w:r>
    </w:p>
    <w:p>
      <w:pPr>
        <w:pStyle w:val="Heading2"/>
        <w:bidi/>
        <w:jc w:val="left"/>
      </w:pPr>
      <w:r>
        <w:rPr>
          <w:rFonts w:ascii="DIN Next LT Arabic Medium" w:hAnsi="DIN Next LT Arabic Medium" w:cs="DIN Next LT Arabic Medium" w:eastAsia="DIN Next LT Arabic Medium"/>
          <w:color w:val="008B99"/>
          <w:sz w:val="26"/>
          <w:szCs w:val="26"/>
        </w:rPr>
        <w:t>من يملك المحتوى ويصدر الشهادات؟</w:t>
      </w:r>
    </w:p>
    <w:p>
      <w:pPr>
        <w:bidi/>
        <w:jc w:val="left"/>
      </w:pPr>
      <w:r>
        <w:rPr>
          <w:rFonts w:ascii="DIN Next LT Arabic Light" w:hAnsi="DIN Next LT Arabic Light" w:cs="DIN Next LT Arabic Light" w:eastAsia="DIN Next LT Arabic Light"/>
          <w:color w:val="173A46"/>
          <w:sz w:val="21"/>
          <w:szCs w:val="21"/>
        </w:rPr>
        <w:t>سجل IPs والعقود يثبتان الملكية والاستعمال والحصرية والاعتماد. تعيين هيرو أو وجود برنامج تدريب لا يكفي وحده لإثبات ترخيص إصدار شهادة.</w:t>
      </w:r>
    </w:p>
    <w:p>
      <w:r>
        <w:br w:type="page"/>
      </w:r>
    </w:p>
    <w:p>
      <w:pPr>
        <w:pStyle w:val="Heading1"/>
        <w:bidi/>
        <w:jc w:val="left"/>
      </w:pPr>
      <w:r>
        <w:rPr>
          <w:rFonts w:ascii="DIN Next LT Arabic Medium" w:hAnsi="DIN Next LT Arabic Medium" w:cs="DIN Next LT Arabic Medium" w:eastAsia="DIN Next LT Arabic Medium"/>
          <w:color w:val="173A46"/>
          <w:sz w:val="46"/>
          <w:szCs w:val="46"/>
        </w:rPr>
        <w:t>غرفة المستثمر: الموجود وما يستكمل</w:t>
      </w:r>
    </w:p>
    <w:p>
      <w:pPr>
        <w:bidi/>
        <w:jc w:val="left"/>
      </w:pPr>
      <w:hyperlink r:id="rId18">
        <w:r>
          <w:rPr>
            <w:rFonts w:cs="DIN Next LT Arabic Light" w:hAnsi="DIN Next LT Arabic Light"/>
            <w:color w:val="008B99"/>
          </w:rPr>
          <w:t>غرفة المستثمر المنشورة — رابط عام</w:t>
        </w:r>
      </w:hyperlink>
    </w:p>
    <w:tbl>
      <w:tblPr>
        <w:tblW w:type="auto" w:w="0"/>
        <w:jc w:val="center"/>
        <w:tblLayout w:type="autofit"/>
        <w:tblLook w:firstColumn="1" w:firstRow="1" w:lastColumn="0" w:lastRow="0" w:noHBand="0" w:noVBand="1" w:val="04A0"/>
        <w:bidiVisual/>
      </w:tblPr>
      <w:tblGrid>
        <w:gridCol w:w="3374"/>
        <w:gridCol w:w="3374"/>
        <w:gridCol w:w="3374"/>
      </w:tblGrid>
      <w:tr>
        <w:trPr>
          <w:cantSplit/>
        </w:trPr>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المحتوى</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الحالة</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الاستخدام</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المجموعة والشركات والشركاء</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منشور</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فهم القدرات والأدوار والواجهات التجريبية</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دراسة السوق والمالية والإقفال</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نسخ محدثة في الرابط</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تحميل ومراجعة الافتراضات والعوائد</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تصاميم مواقع WOO</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8 ملفات PDF منشورة</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التصفح الكامل للتصاميم داخل قسم WOO</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العقود وإثبات التحصيل</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مطلوبة بحسب سجل الفحص</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توثيق الملكية والنقد والحقوق</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فيديوهات رحلة الموقع</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لم تنتج بعد</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تحضير رحلة من التصاميم المعتمدة</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نماذج 3D الأصلية</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لم تستلم كملفات تحرير</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إنتاج الحركة والرحلة عند توافرها</w:t>
            </w:r>
          </w:p>
        </w:tc>
      </w:tr>
    </w:tbl>
    <w:p>
      <w:pPr>
        <w:spacing w:after="0"/>
      </w:pPr>
    </w:p>
    <w:p>
      <w:pPr>
        <w:pStyle w:val="Heading2"/>
        <w:bidi/>
        <w:jc w:val="left"/>
      </w:pPr>
      <w:r>
        <w:rPr>
          <w:rFonts w:ascii="DIN Next LT Arabic Medium" w:hAnsi="DIN Next LT Arabic Medium" w:cs="DIN Next LT Arabic Medium" w:eastAsia="DIN Next LT Arabic Medium"/>
          <w:color w:val="008B99"/>
          <w:sz w:val="26"/>
          <w:szCs w:val="26"/>
        </w:rPr>
        <w:t>فيديو الموقع المقترح: 45–60 ثانية</w:t>
      </w:r>
    </w:p>
    <w:p>
      <w:pPr>
        <w:bidi/>
        <w:jc w:val="left"/>
      </w:pPr>
      <w:r>
        <w:rPr>
          <w:rFonts w:ascii="DIN Next LT Arabic Light" w:hAnsi="DIN Next LT Arabic Light" w:cs="DIN Next LT Arabic Light" w:eastAsia="DIN Next LT Arabic Light"/>
          <w:color w:val="173A46"/>
          <w:sz w:val="21"/>
          <w:szCs w:val="21"/>
        </w:rPr>
        <w:t>0–8 ثوانٍ: الوصول والهوية؛ 8–16: تشغيل الصباح والبري سكول؛ 16–30: Little Inventor والموسيقى وFAB LAB؛ 30–42: المناسبة والزيارة المدرسية والحجز؛ 42–55: البرامج والسعة ونطاق الاستثمار.</w:t>
      </w:r>
    </w:p>
    <w:p>
      <w:pPr>
        <w:bidi/>
        <w:jc w:val="left"/>
        <w:shd w:fill="EAF5F4"/>
      </w:pPr>
      <w:r>
        <w:rPr>
          <w:rFonts w:ascii="DIN Next LT Arabic Light" w:hAnsi="DIN Next LT Arabic Light" w:cs="DIN Next LT Arabic Light" w:eastAsia="DIN Next LT Arabic Light"/>
          <w:color w:val="173A46"/>
          <w:sz w:val="18"/>
          <w:szCs w:val="18"/>
        </w:rPr>
        <w:t>يميز الفيديو التصور التصميمي عن صور التشغيل الفعلية. المدخلات: مخطط وأبعاد وتصاميم عالية الجودة أو 3D، مسار الأسرة، توزيع الأنشطة، موازنة تجهيز، وصور وهوية معتمدتان.</w:t>
      </w:r>
    </w:p>
    <w:p>
      <w:pPr>
        <w:bidi/>
        <w:jc w:val="left"/>
      </w:pPr>
      <w:hyperlink r:id="rId19">
        <w:r>
          <w:rPr>
            <w:rFonts w:cs="DIN Next LT Arabic Light" w:hAnsi="DIN Next LT Arabic Light"/>
            <w:color w:val="008B99"/>
          </w:rPr>
          <w:t>فتح تصاميم WOO</w:t>
        </w:r>
      </w:hyperlink>
    </w:p>
    <w:p>
      <w:r>
        <w:br w:type="page"/>
      </w:r>
    </w:p>
    <w:p>
      <w:pPr>
        <w:bidi/>
        <w:jc w:val="left"/>
      </w:pPr>
      <w:r>
        <w:rPr>
          <w:rFonts w:ascii="DIN Next LT Arabic Medium" w:hAnsi="DIN Next LT Arabic Medium" w:cs="DIN Next LT Arabic Medium" w:eastAsia="DIN Next LT Arabic Medium"/>
          <w:color w:val="00A6AD"/>
          <w:sz w:val="18"/>
          <w:szCs w:val="18"/>
        </w:rPr>
        <w:t>NEXT STEP</w:t>
      </w:r>
    </w:p>
    <w:p>
      <w:pPr>
        <w:pStyle w:val="Heading1"/>
        <w:bidi/>
        <w:jc w:val="left"/>
      </w:pPr>
      <w:r>
        <w:rPr>
          <w:rFonts w:ascii="DIN Next LT Arabic Medium" w:hAnsi="DIN Next LT Arabic Medium" w:cs="DIN Next LT Arabic Medium" w:eastAsia="DIN Next LT Arabic Medium"/>
          <w:color w:val="173A46"/>
          <w:sz w:val="46"/>
          <w:szCs w:val="46"/>
        </w:rPr>
        <w:t>خطة الإقفال والخطوة التالية</w:t>
      </w:r>
    </w:p>
    <w:tbl>
      <w:tblPr>
        <w:tblW w:type="auto" w:w="0"/>
        <w:jc w:val="center"/>
        <w:tblLayout w:type="autofit"/>
        <w:tblLook w:firstColumn="1" w:firstRow="1" w:lastColumn="0" w:lastRow="0" w:noHBand="0" w:noVBand="1" w:val="04A0"/>
        <w:bidiVisual/>
      </w:tblPr>
      <w:tblGrid>
        <w:gridCol w:w="3374"/>
        <w:gridCol w:w="3374"/>
        <w:gridCol w:w="3374"/>
      </w:tblGrid>
      <w:tr>
        <w:trPr>
          <w:cantSplit/>
        </w:trPr>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الفترة</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العمل</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المخرج</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أيام 1–10</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اختيار المسار والشركات والوثائق</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نطاق فحص ومسؤولون</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أيام 11–25</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مطابقة الملكية والعقود والتحصيل والحقوق</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جدول مسائل فحص وقرار إغلاق</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أيام 26–35</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اعتماد القيمة والموازنة والنقد والدفعات</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مذكرة شروط وحوكمة</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أيام 36–45</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استكمال شروط الاتفاق والإقفال</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زيادة رأس مال ودفعة أولى</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بعد الإقفال</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تقارير تشغيل ونقد وجودة وجاهزية</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قرار دفعات وتوسع</w:t>
            </w:r>
          </w:p>
        </w:tc>
      </w:tr>
    </w:tbl>
    <w:p>
      <w:pPr>
        <w:spacing w:after="0"/>
      </w:pPr>
    </w:p>
    <w:p>
      <w:pPr>
        <w:pStyle w:val="Heading2"/>
        <w:bidi/>
        <w:jc w:val="left"/>
      </w:pPr>
      <w:r>
        <w:rPr>
          <w:rFonts w:ascii="DIN Next LT Arabic Medium" w:hAnsi="DIN Next LT Arabic Medium" w:cs="DIN Next LT Arabic Medium" w:eastAsia="DIN Next LT Arabic Medium"/>
          <w:color w:val="008B99"/>
          <w:sz w:val="26"/>
          <w:szCs w:val="26"/>
        </w:rPr>
        <w:t>حزمة الاجتماع</w:t>
      </w:r>
    </w:p>
    <w:p>
      <w:pPr>
        <w:bidi/>
        <w:jc w:val="left"/>
      </w:pPr>
      <w:r>
        <w:rPr>
          <w:rFonts w:ascii="DIN Next LT Arabic Light" w:hAnsi="DIN Next LT Arabic Light" w:cs="DIN Next LT Arabic Light" w:eastAsia="DIN Next LT Arabic Light"/>
          <w:color w:val="173A46"/>
          <w:sz w:val="21"/>
          <w:szCs w:val="21"/>
        </w:rPr>
        <w:t>العرض الرئيسي PowerPoint وPDF؛ النموذج المالي المعدل؛ دراسة السوق؛ مذكرة الفحص والإقفال؛ تصاميم مواقع WOO. تحفظ العقود والقوائم والإثباتات الأصلية بحسب الموقع والفترة، وترتبط بنسخة الاجتماع.</w:t>
      </w:r>
    </w:p>
    <w:p>
      <w:pPr>
        <w:pStyle w:val="Heading2"/>
        <w:bidi/>
        <w:jc w:val="left"/>
      </w:pPr>
      <w:r>
        <w:rPr>
          <w:rFonts w:ascii="DIN Next LT Arabic Medium" w:hAnsi="DIN Next LT Arabic Medium" w:cs="DIN Next LT Arabic Medium" w:eastAsia="DIN Next LT Arabic Medium"/>
          <w:color w:val="008B99"/>
          <w:sz w:val="26"/>
          <w:szCs w:val="26"/>
        </w:rPr>
        <w:t>القرار المطلوب</w:t>
      </w:r>
    </w:p>
    <w:p>
      <w:pPr>
        <w:bidi/>
        <w:jc w:val="left"/>
      </w:pPr>
      <w:r>
        <w:rPr>
          <w:rFonts w:ascii="DIN Next LT Arabic Light" w:hAnsi="DIN Next LT Arabic Light" w:cs="DIN Next LT Arabic Light" w:eastAsia="DIN Next LT Arabic Light"/>
          <w:color w:val="173A46"/>
          <w:sz w:val="21"/>
          <w:szCs w:val="21"/>
        </w:rPr>
        <w:t>تحديد مسار الاستثمار والشركات محل الاهتمام، ونقطة اتصال وفريق فحص، ثم اعتماد جدول الوثائق والحقوق والسيولة وشروط الدفعات. تستكمل فيديوهات المواقع من التصاميم المعتمدة.</w:t>
      </w:r>
    </w:p>
    <w:p>
      <w:pPr>
        <w:bidi/>
        <w:jc w:val="left"/>
      </w:pPr>
      <w:hyperlink r:id="rId18">
        <w:r>
          <w:rPr>
            <w:rFonts w:cs="DIN Next LT Arabic Light" w:hAnsi="DIN Next LT Arabic Light"/>
            <w:color w:val="008B99"/>
          </w:rPr>
          <w:t>الملفات والتصاميم في غرفة المستثمر</w:t>
        </w:r>
      </w:hyperlink>
    </w:p>
    <w:p>
      <w:pPr>
        <w:bidi/>
        <w:jc w:val="left"/>
        <w:shd w:fill="EAF5F4"/>
      </w:pPr>
      <w:r>
        <w:rPr>
          <w:rFonts w:ascii="DIN Next LT Arabic Light" w:hAnsi="DIN Next LT Arabic Light" w:cs="DIN Next LT Arabic Light" w:eastAsia="DIN Next LT Arabic Light"/>
          <w:color w:val="173A46"/>
          <w:sz w:val="18"/>
          <w:szCs w:val="18"/>
        </w:rPr>
        <w:t>نسخ Word قابلة للتعديل بخط DIN Next LT Arabic Medium للعناوين وLight للنص. ملف الخط الكامل غير متاح للتصدير هنا؛ نسخة PDF الحالية تستخدم Cairo المضمن.</w:t>
      </w:r>
    </w:p>
    <w:sectPr w:rsidR="00FC693F" w:rsidRPr="0006063C" w:rsidSect="00034616">
      <w:headerReference w:type="default" r:id="rId9"/>
      <w:footerReference w:type="default" r:id="rId10"/>
      <w:pgSz w:w="11909" w:h="16834"/>
      <w:pgMar w:top="907" w:right="893" w:bottom="835"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jc w:val="left"/>
    </w:pPr>
    <w:r>
      <w:rPr>
        <w:rFonts w:ascii="DIN Next LT Arabic Light" w:hAnsi="DIN Next LT Arabic Light" w:cs="DIN Next LT Arabic Light" w:eastAsia="DIN Next LT Arabic Light"/>
        <w:color w:val="173A46"/>
        <w:sz w:val="21"/>
        <w:szCs w:val="21"/>
      </w:rPr>
      <w:t xml:space="preserve">Edutainment Holding  |  6 أكتوبر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drawing>
        <wp:inline xmlns:a="http://schemas.openxmlformats.org/drawingml/2006/main" xmlns:pic="http://schemas.openxmlformats.org/drawingml/2006/picture">
          <wp:extent cx="1444752" cy="477503"/>
          <wp:docPr id="1" name="Picture 1"/>
          <wp:cNvGraphicFramePr>
            <a:graphicFrameLocks noChangeAspect="1"/>
          </wp:cNvGraphicFramePr>
          <a:graphic>
            <a:graphicData uri="http://schemas.openxmlformats.org/drawingml/2006/picture">
              <pic:pic>
                <pic:nvPicPr>
                  <pic:cNvPr id="0" name="holding-transparent.png"/>
                  <pic:cNvPicPr/>
                </pic:nvPicPr>
                <pic:blipFill>
                  <a:blip r:embed="rId1"/>
                  <a:stretch>
                    <a:fillRect/>
                  </a:stretch>
                </pic:blipFill>
                <pic:spPr>
                  <a:xfrm>
                    <a:off x="0" y="0"/>
                    <a:ext cx="1444752" cy="47750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93" w:lineRule="auto"/>
    </w:pPr>
    <w:rPr>
      <w:rFonts w:ascii="DIN Next LT Arabic Light" w:hAnsi="DIN Next LT Arabic Light"/>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93" w:lineRule="auto"/>
      <w:outlineLvl w:val="0"/>
    </w:pPr>
    <w:rPr>
      <w:rFonts w:asciiTheme="majorHAnsi" w:eastAsiaTheme="majorEastAsia" w:hAnsiTheme="majorHAnsi" w:cstheme="majorBidi" w:ascii="DIN Next LT Arabic Medium" w:hAnsi="DIN Next LT Arabic Medium"/>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140" w:line="293" w:lineRule="auto"/>
      <w:outlineLvl w:val="1"/>
    </w:pPr>
    <w:rPr>
      <w:rFonts w:asciiTheme="majorHAnsi" w:eastAsiaTheme="majorEastAsia" w:hAnsiTheme="majorHAnsi" w:cstheme="majorBidi" w:ascii="DIN Next LT Arabic Medium" w:hAnsi="DIN Next LT Arabic Medium"/>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93" w:lineRule="auto"/>
      <w:contextualSpacing/>
    </w:pPr>
    <w:rPr>
      <w:rFonts w:asciiTheme="majorHAnsi" w:eastAsiaTheme="majorEastAsia" w:hAnsiTheme="majorHAnsi" w:cstheme="majorBidi" w:ascii="DIN Next LT Arabic Medium" w:hAnsi="DIN Next LT Arabic Medium"/>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hyperlink" Target="https://edutainment-investor-room.edumind-6151.chatgpt.site" TargetMode="External"/><Relationship Id="rId19" Type="http://schemas.openxmlformats.org/officeDocument/2006/relationships/hyperlink" Target="https://edutainment-investor-room.edumind-6151.chatgpt.site/#woo-desig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شروط الاستثمار والفحص والإقفال</dc:title>
  <dc:subject/>
  <dc:creator>Edutainment Holding</dc:creator>
  <cp:keywords/>
  <dc:description>generated by python-docx</dc:description>
  <cp:lastModifiedBy/>
  <cp:revision>1</cp:revision>
  <dcterms:created xsi:type="dcterms:W3CDTF">2013-12-23T23:15:00Z</dcterms:created>
  <dcterms:modified xsi:type="dcterms:W3CDTF">2013-12-23T23:15:00Z</dcterms:modified>
  <cp:category/>
</cp:coreProperties>
</file>